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DA3D49" w:rsidRDefault="00D96B73" w:rsidP="001D7CFF">
      <w:pPr>
        <w:pStyle w:val="Header"/>
        <w:tabs>
          <w:tab w:val="right" w:pos="8280"/>
          <w:tab w:val="right" w:pos="9781"/>
        </w:tabs>
        <w:ind w:right="-58"/>
        <w:rPr>
          <w:bCs w:val="0"/>
          <w:noProof w:val="0"/>
          <w:sz w:val="24"/>
          <w:szCs w:val="24"/>
          <w:lang w:eastAsia="zh-CN"/>
        </w:rPr>
      </w:pPr>
      <w:r>
        <w:rPr>
          <w:rFonts w:eastAsia="Batang"/>
          <w:bCs w:val="0"/>
          <w:noProof w:val="0"/>
          <w:sz w:val="24"/>
          <w:szCs w:val="24"/>
        </w:rPr>
        <w:t xml:space="preserve">3GPP TSG RAN WG1 </w:t>
      </w:r>
      <w:r w:rsidR="00FA32D1">
        <w:rPr>
          <w:rFonts w:eastAsia="Batang"/>
          <w:bCs w:val="0"/>
          <w:noProof w:val="0"/>
          <w:sz w:val="24"/>
          <w:szCs w:val="24"/>
        </w:rPr>
        <w:t xml:space="preserve">Ad-Hoc </w:t>
      </w:r>
      <w:r>
        <w:rPr>
          <w:rFonts w:eastAsia="Batang"/>
          <w:bCs w:val="0"/>
          <w:noProof w:val="0"/>
          <w:sz w:val="24"/>
          <w:szCs w:val="24"/>
        </w:rPr>
        <w:t>Meeting #</w:t>
      </w:r>
      <w:r w:rsidR="00FA32D1">
        <w:rPr>
          <w:rFonts w:eastAsia="Batang"/>
          <w:bCs w:val="0"/>
          <w:noProof w:val="0"/>
          <w:sz w:val="24"/>
          <w:szCs w:val="24"/>
        </w:rPr>
        <w:t>1901</w:t>
      </w:r>
      <w:r w:rsidR="00653744" w:rsidRPr="0024666F">
        <w:rPr>
          <w:rFonts w:eastAsia="Batang"/>
          <w:bCs w:val="0"/>
          <w:noProof w:val="0"/>
          <w:sz w:val="24"/>
          <w:szCs w:val="24"/>
        </w:rPr>
        <w:tab/>
      </w:r>
      <w:r w:rsidR="00653744" w:rsidRPr="0024666F">
        <w:rPr>
          <w:rFonts w:eastAsia="Batang"/>
          <w:bCs w:val="0"/>
          <w:noProof w:val="0"/>
          <w:sz w:val="24"/>
          <w:szCs w:val="24"/>
        </w:rPr>
        <w:tab/>
      </w:r>
      <w:r w:rsidR="00E8058A">
        <w:rPr>
          <w:rFonts w:eastAsia="Batang"/>
          <w:bCs w:val="0"/>
          <w:noProof w:val="0"/>
          <w:sz w:val="24"/>
          <w:szCs w:val="24"/>
        </w:rPr>
        <w:t xml:space="preserve"> </w:t>
      </w:r>
      <w:r w:rsidR="00653744" w:rsidRPr="0024666F">
        <w:rPr>
          <w:rFonts w:eastAsia="Batang"/>
          <w:bCs w:val="0"/>
          <w:noProof w:val="0"/>
          <w:sz w:val="24"/>
          <w:szCs w:val="24"/>
        </w:rPr>
        <w:t>R1-</w:t>
      </w:r>
      <w:r w:rsidR="0004518D">
        <w:rPr>
          <w:rFonts w:eastAsia="Batang"/>
          <w:bCs w:val="0"/>
          <w:noProof w:val="0"/>
          <w:sz w:val="24"/>
          <w:szCs w:val="24"/>
        </w:rPr>
        <w:t>1</w:t>
      </w:r>
      <w:r w:rsidR="00FA32D1">
        <w:rPr>
          <w:rFonts w:eastAsia="Batang"/>
          <w:bCs w:val="0"/>
          <w:noProof w:val="0"/>
          <w:sz w:val="24"/>
          <w:szCs w:val="24"/>
        </w:rPr>
        <w:t>90</w:t>
      </w:r>
      <w:r w:rsidR="00E463CB">
        <w:rPr>
          <w:rFonts w:eastAsia="Batang"/>
          <w:bCs w:val="0"/>
          <w:noProof w:val="0"/>
          <w:sz w:val="24"/>
          <w:szCs w:val="24"/>
        </w:rPr>
        <w:t>1156</w:t>
      </w:r>
    </w:p>
    <w:p w:rsidR="0004518D" w:rsidRDefault="00FA32D1" w:rsidP="00653744">
      <w:pPr>
        <w:spacing w:after="0"/>
        <w:ind w:left="1988" w:hanging="1988"/>
        <w:rPr>
          <w:rFonts w:ascii="Arial" w:eastAsia="Batang" w:hAnsi="Arial" w:cs="Arial"/>
          <w:b/>
          <w:sz w:val="24"/>
          <w:szCs w:val="24"/>
        </w:rPr>
      </w:pPr>
      <w:r>
        <w:rPr>
          <w:rFonts w:ascii="Arial" w:eastAsia="MS Mincho" w:hAnsi="Arial" w:cs="Arial"/>
          <w:b/>
          <w:bCs/>
          <w:sz w:val="24"/>
          <w:lang w:eastAsia="ja-JP"/>
        </w:rPr>
        <w:t>Taipei, Taiwan</w:t>
      </w:r>
      <w:r w:rsidR="002E7704" w:rsidRPr="00405CC7">
        <w:rPr>
          <w:rFonts w:ascii="Arial" w:eastAsia="MS Mincho" w:hAnsi="Arial" w:cs="Arial"/>
          <w:b/>
          <w:bCs/>
          <w:sz w:val="24"/>
          <w:lang w:eastAsia="ja-JP"/>
        </w:rPr>
        <w:t>,</w:t>
      </w:r>
      <w:r>
        <w:rPr>
          <w:rFonts w:ascii="Arial" w:eastAsia="MS Mincho" w:hAnsi="Arial" w:cs="Arial"/>
          <w:b/>
          <w:bCs/>
          <w:sz w:val="24"/>
          <w:lang w:eastAsia="ja-JP"/>
        </w:rPr>
        <w:t xml:space="preserve"> January</w:t>
      </w:r>
      <w:r w:rsidR="002E7704" w:rsidRPr="00405CC7">
        <w:rPr>
          <w:rFonts w:ascii="Arial" w:eastAsia="MS Mincho" w:hAnsi="Arial" w:cs="Arial"/>
          <w:b/>
          <w:bCs/>
          <w:sz w:val="24"/>
          <w:lang w:eastAsia="ja-JP"/>
        </w:rPr>
        <w:t xml:space="preserve"> </w:t>
      </w:r>
      <w:r>
        <w:rPr>
          <w:rFonts w:ascii="Arial" w:eastAsia="MS Mincho" w:hAnsi="Arial" w:cs="Arial"/>
          <w:b/>
          <w:bCs/>
          <w:sz w:val="24"/>
          <w:lang w:eastAsia="ja-JP"/>
        </w:rPr>
        <w:t>21st</w:t>
      </w:r>
      <w:r w:rsidR="002E7704" w:rsidRPr="00405CC7">
        <w:rPr>
          <w:rFonts w:ascii="Arial" w:eastAsia="MS Mincho" w:hAnsi="Arial" w:cs="Arial"/>
          <w:b/>
          <w:bCs/>
          <w:sz w:val="24"/>
          <w:lang w:eastAsia="ja-JP"/>
        </w:rPr>
        <w:t xml:space="preserve"> – </w:t>
      </w:r>
      <w:r>
        <w:rPr>
          <w:rFonts w:ascii="Arial" w:eastAsia="MS Mincho" w:hAnsi="Arial" w:cs="Arial"/>
          <w:b/>
          <w:bCs/>
          <w:sz w:val="24"/>
          <w:lang w:eastAsia="ja-JP"/>
        </w:rPr>
        <w:t>25th</w:t>
      </w:r>
      <w:r w:rsidR="002E7704" w:rsidRPr="00405CC7">
        <w:rPr>
          <w:rFonts w:ascii="Arial" w:eastAsia="MS Mincho" w:hAnsi="Arial" w:cs="Arial"/>
          <w:b/>
          <w:bCs/>
          <w:sz w:val="24"/>
          <w:lang w:eastAsia="ja-JP"/>
        </w:rPr>
        <w:t>, 201</w:t>
      </w:r>
      <w:r>
        <w:rPr>
          <w:rFonts w:ascii="Arial" w:eastAsia="MS Mincho" w:hAnsi="Arial" w:cs="Arial"/>
          <w:b/>
          <w:bCs/>
          <w:sz w:val="24"/>
          <w:lang w:eastAsia="ja-JP"/>
        </w:rPr>
        <w:t>9</w:t>
      </w:r>
    </w:p>
    <w:p w:rsidR="00D96B73" w:rsidRDefault="00D96B73" w:rsidP="00653744">
      <w:pPr>
        <w:spacing w:after="0"/>
        <w:ind w:left="1988" w:hanging="1988"/>
        <w:rPr>
          <w:rFonts w:ascii="Arial" w:hAnsi="Arial" w:cs="Arial"/>
          <w:b/>
          <w:sz w:val="24"/>
        </w:rPr>
      </w:pPr>
    </w:p>
    <w:p w:rsidR="00653744" w:rsidRPr="0024666F" w:rsidRDefault="00653744" w:rsidP="00653744">
      <w:pPr>
        <w:spacing w:after="0"/>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00BC2469" w:rsidRPr="00DF1CE7">
        <w:rPr>
          <w:rFonts w:ascii="Arial" w:hAnsi="Arial" w:cs="Arial"/>
          <w:b/>
          <w:sz w:val="24"/>
        </w:rPr>
        <w:t>Nokia</w:t>
      </w:r>
      <w:r w:rsidR="00BC2469">
        <w:rPr>
          <w:rFonts w:ascii="Arial" w:hAnsi="Arial" w:cs="Arial"/>
          <w:b/>
          <w:sz w:val="24"/>
        </w:rPr>
        <w:t>,</w:t>
      </w:r>
      <w:r w:rsidR="00BC2469">
        <w:rPr>
          <w:rFonts w:ascii="Arial" w:hAnsi="Arial" w:cs="Arial" w:hint="eastAsia"/>
          <w:b/>
          <w:sz w:val="24"/>
        </w:rPr>
        <w:t xml:space="preserve"> </w:t>
      </w:r>
      <w:r w:rsidR="00FC00AC">
        <w:rPr>
          <w:rFonts w:ascii="Arial" w:hAnsi="Arial" w:cs="Arial"/>
          <w:b/>
          <w:sz w:val="24"/>
        </w:rPr>
        <w:t>Nokia</w:t>
      </w:r>
      <w:r w:rsidR="00854D22">
        <w:rPr>
          <w:rFonts w:ascii="Arial" w:hAnsi="Arial" w:cs="Arial" w:hint="eastAsia"/>
          <w:b/>
          <w:sz w:val="24"/>
        </w:rPr>
        <w:t xml:space="preserve"> Shanghai Bell</w:t>
      </w:r>
      <w:r w:rsidR="00DF1CE7">
        <w:rPr>
          <w:rFonts w:ascii="Arial" w:hAnsi="Arial" w:cs="Arial" w:hint="eastAsia"/>
          <w:b/>
          <w:sz w:val="24"/>
        </w:rPr>
        <w:t xml:space="preserve"> </w:t>
      </w:r>
    </w:p>
    <w:p w:rsidR="00653744" w:rsidRPr="0024666F" w:rsidRDefault="00653744" w:rsidP="00F945A6">
      <w:pPr>
        <w:spacing w:after="0"/>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FE3710">
        <w:rPr>
          <w:rFonts w:ascii="Arial" w:hAnsi="Arial" w:cs="Arial"/>
          <w:b/>
          <w:sz w:val="24"/>
        </w:rPr>
        <w:t xml:space="preserve">On </w:t>
      </w:r>
      <w:r w:rsidR="00986206">
        <w:rPr>
          <w:rFonts w:ascii="Arial" w:hAnsi="Arial" w:cs="Arial"/>
          <w:b/>
          <w:sz w:val="24"/>
        </w:rPr>
        <w:t xml:space="preserve">Sidelink </w:t>
      </w:r>
      <w:r w:rsidR="0028085B">
        <w:rPr>
          <w:rFonts w:ascii="Arial" w:hAnsi="Arial" w:cs="Arial"/>
          <w:b/>
          <w:sz w:val="24"/>
        </w:rPr>
        <w:t>physical layer procedures</w:t>
      </w:r>
    </w:p>
    <w:p w:rsidR="00653744" w:rsidRPr="0024666F" w:rsidRDefault="00653744" w:rsidP="00653744">
      <w:pPr>
        <w:spacing w:after="0"/>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00986206" w:rsidRPr="00986206">
        <w:rPr>
          <w:rFonts w:ascii="Arial" w:hAnsi="Arial" w:cs="Arial"/>
          <w:b/>
          <w:sz w:val="24"/>
        </w:rPr>
        <w:t>7.2.4.1.</w:t>
      </w:r>
      <w:r w:rsidR="0028085B">
        <w:rPr>
          <w:rFonts w:ascii="Arial" w:hAnsi="Arial" w:cs="Arial"/>
          <w:b/>
          <w:sz w:val="24"/>
        </w:rPr>
        <w:t>2</w:t>
      </w:r>
    </w:p>
    <w:p w:rsidR="00653744" w:rsidRPr="0024666F" w:rsidRDefault="00653744" w:rsidP="00653744">
      <w:pPr>
        <w:spacing w:after="0"/>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rsidR="00653744" w:rsidRPr="0024666F" w:rsidRDefault="00653744" w:rsidP="00653744">
      <w:pPr>
        <w:spacing w:after="0"/>
        <w:ind w:left="1988" w:hanging="1988"/>
        <w:rPr>
          <w:rFonts w:ascii="Arial" w:hAnsi="Arial" w:cs="Arial"/>
          <w:b/>
          <w:sz w:val="24"/>
        </w:rPr>
      </w:pPr>
    </w:p>
    <w:p w:rsidR="0058787A" w:rsidRDefault="00653744" w:rsidP="002409E2">
      <w:pPr>
        <w:pStyle w:val="Heading1"/>
        <w:pBdr>
          <w:top w:val="single" w:sz="12" w:space="4" w:color="auto"/>
        </w:pBdr>
        <w:rPr>
          <w:lang w:val="en-US"/>
        </w:rPr>
      </w:pPr>
      <w:r w:rsidRPr="0024666F">
        <w:rPr>
          <w:lang w:val="en-US"/>
        </w:rPr>
        <w:t>Introduction</w:t>
      </w:r>
    </w:p>
    <w:p w:rsidR="00FA31F5" w:rsidRDefault="000B6333" w:rsidP="00A6533D">
      <w:pPr>
        <w:rPr>
          <w:rFonts w:ascii="Calibri" w:eastAsia="Calibri" w:hAnsi="Calibri" w:cs="Arial"/>
        </w:rPr>
      </w:pPr>
      <w:bookmarkStart w:id="0" w:name="_Hlk521660119"/>
      <w:r>
        <w:rPr>
          <w:rFonts w:ascii="Calibri" w:eastAsia="Calibri" w:hAnsi="Calibri" w:cs="Arial"/>
        </w:rPr>
        <w:t>Steady p</w:t>
      </w:r>
      <w:r w:rsidR="00FA31F5">
        <w:rPr>
          <w:rFonts w:ascii="Calibri" w:eastAsia="Calibri" w:hAnsi="Calibri" w:cs="Arial"/>
        </w:rPr>
        <w:t>rogress has been made in the last RAN1 meeting on the V2X sidelink physical layer procedures, under the SID “Study on NR V2X” (FS_NR_V2X) [1]. The latest agreements covers these topics</w:t>
      </w:r>
      <w:r w:rsidR="00D32365">
        <w:rPr>
          <w:rFonts w:ascii="Calibri" w:eastAsia="Calibri" w:hAnsi="Calibri" w:cs="Arial"/>
        </w:rPr>
        <w:t xml:space="preserve"> [2]</w:t>
      </w:r>
      <w:r w:rsidR="00FA31F5">
        <w:rPr>
          <w:rFonts w:ascii="Calibri" w:eastAsia="Calibri" w:hAnsi="Calibri" w:cs="Arial"/>
        </w:rPr>
        <w:t>:</w:t>
      </w:r>
    </w:p>
    <w:p w:rsidR="00FA31F5" w:rsidRPr="00FA31F5" w:rsidRDefault="00FA31F5" w:rsidP="00FA31F5">
      <w:pPr>
        <w:pStyle w:val="ListParagraph"/>
        <w:numPr>
          <w:ilvl w:val="0"/>
          <w:numId w:val="24"/>
        </w:numPr>
        <w:rPr>
          <w:rFonts w:cs="Arial"/>
        </w:rPr>
      </w:pPr>
      <w:r>
        <w:rPr>
          <w:rFonts w:cs="Arial"/>
          <w:lang w:val="en-US"/>
        </w:rPr>
        <w:t>HARQ feedback, especially HARQ for group cast,</w:t>
      </w:r>
    </w:p>
    <w:p w:rsidR="00FA31F5" w:rsidRPr="00FA31F5" w:rsidRDefault="00FA31F5" w:rsidP="00FA31F5">
      <w:pPr>
        <w:pStyle w:val="ListParagraph"/>
        <w:numPr>
          <w:ilvl w:val="0"/>
          <w:numId w:val="24"/>
        </w:numPr>
        <w:rPr>
          <w:rFonts w:cs="Arial"/>
        </w:rPr>
      </w:pPr>
      <w:r>
        <w:rPr>
          <w:rFonts w:cs="Arial"/>
          <w:lang w:val="en-US"/>
        </w:rPr>
        <w:t>PSFCH to carry SFCI for unicast and groupcast,</w:t>
      </w:r>
    </w:p>
    <w:p w:rsidR="00FA31F5" w:rsidRPr="00FA31F5" w:rsidRDefault="00FA31F5" w:rsidP="00FA31F5">
      <w:pPr>
        <w:pStyle w:val="ListParagraph"/>
        <w:numPr>
          <w:ilvl w:val="0"/>
          <w:numId w:val="24"/>
        </w:numPr>
        <w:rPr>
          <w:rFonts w:cs="Arial"/>
        </w:rPr>
      </w:pPr>
      <w:r>
        <w:rPr>
          <w:rFonts w:cs="Arial"/>
          <w:lang w:val="en-US"/>
        </w:rPr>
        <w:t>Support of UE’s message transmission to gNB for sidelink retransmission in model 1.</w:t>
      </w:r>
    </w:p>
    <w:p w:rsidR="00FA31F5" w:rsidRDefault="00FA31F5" w:rsidP="00A6533D">
      <w:pPr>
        <w:rPr>
          <w:rFonts w:ascii="Calibri" w:eastAsia="Calibri" w:hAnsi="Calibri" w:cs="Arial"/>
        </w:rPr>
      </w:pPr>
      <w:r>
        <w:rPr>
          <w:rFonts w:ascii="Calibri" w:eastAsia="Calibri" w:hAnsi="Calibri" w:cs="Arial"/>
        </w:rPr>
        <w:t>The agreements in RAN1 #95 are listed here for reference</w:t>
      </w:r>
      <w:r w:rsidR="00D32365">
        <w:rPr>
          <w:rFonts w:ascii="Calibri" w:eastAsia="Calibri" w:hAnsi="Calibri" w:cs="Arial"/>
        </w:rPr>
        <w:t xml:space="preserve"> [2]</w:t>
      </w:r>
      <w:r>
        <w:rPr>
          <w:rFonts w:ascii="Calibri" w:eastAsia="Calibri" w:hAnsi="Calibri" w:cs="Arial"/>
        </w:rPr>
        <w:t>.</w:t>
      </w:r>
    </w:p>
    <w:p w:rsidR="00FA31F5" w:rsidRDefault="002D772D" w:rsidP="00A6533D">
      <w:pPr>
        <w:rPr>
          <w:rFonts w:ascii="Calibri" w:eastAsia="Calibri" w:hAnsi="Calibri" w:cs="Arial"/>
        </w:rPr>
      </w:pPr>
      <w:r>
        <w:rPr>
          <w:rFonts w:ascii="Calibri" w:eastAsia="Calibri" w:hAnsi="Calibri" w:cs="Arial"/>
        </w:rPr>
        <w:t>One</w:t>
      </w:r>
      <w:r w:rsidR="00FA31F5">
        <w:rPr>
          <w:rFonts w:ascii="Calibri" w:eastAsia="Calibri" w:hAnsi="Calibri" w:cs="Arial"/>
        </w:rPr>
        <w:t xml:space="preserve"> agreement defin</w:t>
      </w:r>
      <w:r>
        <w:rPr>
          <w:rFonts w:ascii="Calibri" w:eastAsia="Calibri" w:hAnsi="Calibri" w:cs="Arial"/>
        </w:rPr>
        <w:t xml:space="preserve">es the HARQ ACK/NACK </w:t>
      </w:r>
      <w:r w:rsidR="002C7E59">
        <w:rPr>
          <w:rFonts w:ascii="Calibri" w:eastAsia="Calibri" w:hAnsi="Calibri" w:cs="Arial"/>
        </w:rPr>
        <w:t>messages</w:t>
      </w:r>
      <w:r w:rsidR="00FA31F5">
        <w:rPr>
          <w:rFonts w:ascii="Calibri" w:eastAsia="Calibri" w:hAnsi="Calibri"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31F5" w:rsidRPr="0028085B" w:rsidTr="00586CD5">
        <w:tc>
          <w:tcPr>
            <w:tcW w:w="9629" w:type="dxa"/>
            <w:shd w:val="clear" w:color="auto" w:fill="auto"/>
          </w:tcPr>
          <w:p w:rsidR="00FA31F5" w:rsidRPr="00FA31F5" w:rsidRDefault="00FA31F5" w:rsidP="00586CD5">
            <w:pPr>
              <w:rPr>
                <w:rFonts w:ascii="Times New Roman" w:hAnsi="Times New Roman" w:cs="Times New Roman"/>
                <w:sz w:val="20"/>
                <w:szCs w:val="20"/>
                <w:highlight w:val="green"/>
                <w:lang w:eastAsia="x-none"/>
              </w:rPr>
            </w:pPr>
            <w:r w:rsidRPr="00FA31F5">
              <w:rPr>
                <w:rFonts w:ascii="Times New Roman" w:hAnsi="Times New Roman" w:cs="Times New Roman"/>
                <w:sz w:val="20"/>
                <w:szCs w:val="20"/>
                <w:highlight w:val="green"/>
                <w:lang w:eastAsia="x-none"/>
              </w:rPr>
              <w:t>Agreements:</w:t>
            </w:r>
          </w:p>
          <w:p w:rsidR="00FA31F5" w:rsidRPr="00FA31F5" w:rsidRDefault="00FA31F5" w:rsidP="00FA31F5">
            <w:pPr>
              <w:numPr>
                <w:ilvl w:val="0"/>
                <w:numId w:val="25"/>
              </w:numPr>
              <w:spacing w:after="0" w:line="240" w:lineRule="auto"/>
              <w:rPr>
                <w:rFonts w:ascii="Times New Roman" w:hAnsi="Times New Roman" w:cs="Times New Roman"/>
                <w:sz w:val="20"/>
                <w:szCs w:val="20"/>
              </w:rPr>
            </w:pPr>
            <w:r w:rsidRPr="00FA31F5">
              <w:rPr>
                <w:rFonts w:ascii="Times New Roman" w:hAnsi="Times New Roman" w:cs="Times New Roman"/>
                <w:sz w:val="20"/>
                <w:szCs w:val="20"/>
              </w:rPr>
              <w:t>When SL HARQ feedback is enabled for unicast, the following operation is supported for the non-CBG case:</w:t>
            </w:r>
          </w:p>
          <w:p w:rsidR="00FA31F5" w:rsidRPr="00FA31F5" w:rsidRDefault="00FA31F5" w:rsidP="00FA31F5">
            <w:pPr>
              <w:numPr>
                <w:ilvl w:val="1"/>
                <w:numId w:val="25"/>
              </w:numPr>
              <w:spacing w:after="0" w:line="240" w:lineRule="auto"/>
              <w:rPr>
                <w:rFonts w:ascii="Times New Roman" w:hAnsi="Times New Roman" w:cs="Times New Roman"/>
                <w:sz w:val="20"/>
                <w:szCs w:val="20"/>
              </w:rPr>
            </w:pPr>
            <w:r w:rsidRPr="00FA31F5">
              <w:rPr>
                <w:rFonts w:ascii="Times New Roman" w:hAnsi="Times New Roman" w:cs="Times New Roman"/>
                <w:sz w:val="20"/>
                <w:szCs w:val="20"/>
              </w:rPr>
              <w:t>Receiver UE generates HARQ-ACK if it successfully decodes the corresponding TB. It generates HARQ-NACK if it does not successfully decode the corresponding TB after decoding the associated PSCCH which targets the receiver UE.</w:t>
            </w:r>
          </w:p>
          <w:p w:rsidR="00FA31F5" w:rsidRPr="0021489B" w:rsidRDefault="00FA31F5" w:rsidP="00FA31F5">
            <w:pPr>
              <w:numPr>
                <w:ilvl w:val="1"/>
                <w:numId w:val="25"/>
              </w:numPr>
              <w:spacing w:after="0" w:line="240" w:lineRule="auto"/>
              <w:rPr>
                <w:szCs w:val="20"/>
              </w:rPr>
            </w:pPr>
            <w:r w:rsidRPr="00FA31F5">
              <w:rPr>
                <w:rFonts w:ascii="Times New Roman" w:hAnsi="Times New Roman" w:cs="Times New Roman"/>
                <w:sz w:val="20"/>
                <w:szCs w:val="20"/>
              </w:rPr>
              <w:t>FFS whether to support SL HARQ feedback per CBG</w:t>
            </w:r>
          </w:p>
        </w:tc>
      </w:tr>
    </w:tbl>
    <w:p w:rsidR="00FA31F5" w:rsidRDefault="00FA31F5" w:rsidP="00A6533D">
      <w:pPr>
        <w:rPr>
          <w:rFonts w:ascii="Calibri" w:eastAsia="Calibri" w:hAnsi="Calibri" w:cs="Arial"/>
        </w:rPr>
      </w:pPr>
    </w:p>
    <w:p w:rsidR="00FA31F5" w:rsidRDefault="00FA31F5" w:rsidP="00A6533D">
      <w:pPr>
        <w:rPr>
          <w:rFonts w:ascii="Calibri" w:eastAsia="Calibri" w:hAnsi="Calibri" w:cs="Arial"/>
        </w:rPr>
      </w:pPr>
      <w:r>
        <w:rPr>
          <w:rFonts w:ascii="Calibri" w:eastAsia="Calibri" w:hAnsi="Calibri" w:cs="Arial"/>
        </w:rPr>
        <w:t>To support SL HARQ feedback for groupcast, two options are agreed for further study.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31F5" w:rsidRPr="0028085B" w:rsidTr="00586CD5">
        <w:tc>
          <w:tcPr>
            <w:tcW w:w="9629" w:type="dxa"/>
            <w:shd w:val="clear" w:color="auto" w:fill="auto"/>
          </w:tcPr>
          <w:p w:rsidR="00FA31F5" w:rsidRPr="00E07D69" w:rsidRDefault="00FA31F5" w:rsidP="00586CD5">
            <w:pPr>
              <w:rPr>
                <w:rFonts w:ascii="Times New Roman" w:hAnsi="Times New Roman" w:cs="Times New Roman"/>
                <w:sz w:val="20"/>
                <w:szCs w:val="20"/>
                <w:lang w:eastAsia="x-none"/>
              </w:rPr>
            </w:pPr>
            <w:r w:rsidRPr="00E07D69">
              <w:rPr>
                <w:rFonts w:ascii="Times New Roman" w:hAnsi="Times New Roman" w:cs="Times New Roman"/>
                <w:sz w:val="20"/>
                <w:szCs w:val="20"/>
                <w:highlight w:val="green"/>
                <w:lang w:eastAsia="x-none"/>
              </w:rPr>
              <w:t>Agreements</w:t>
            </w:r>
            <w:r w:rsidRPr="00E07D69">
              <w:rPr>
                <w:rFonts w:ascii="Times New Roman" w:hAnsi="Times New Roman" w:cs="Times New Roman"/>
                <w:sz w:val="20"/>
                <w:szCs w:val="20"/>
                <w:lang w:eastAsia="x-none"/>
              </w:rPr>
              <w:t>:</w:t>
            </w:r>
          </w:p>
          <w:p w:rsidR="00FA31F5" w:rsidRPr="00E07D69" w:rsidRDefault="00FA31F5" w:rsidP="00FA31F5">
            <w:pPr>
              <w:pStyle w:val="LGTdoc"/>
              <w:numPr>
                <w:ilvl w:val="0"/>
                <w:numId w:val="2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When SL HARQ feedback is enabled for groupcast, the following operations are further studied for the non-CBG case:</w:t>
            </w:r>
          </w:p>
          <w:p w:rsidR="00FA31F5" w:rsidRPr="00E07D69" w:rsidRDefault="00FA31F5" w:rsidP="00FA31F5">
            <w:pPr>
              <w:pStyle w:val="LGTdoc"/>
              <w:numPr>
                <w:ilvl w:val="1"/>
                <w:numId w:val="2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Option 1: Receiver UE transmits HARQ-NACK on PSFCH if it fails to decode the corresponding TB after decoding the associated PSCCH. It transmits no signal on PSFCH otherwise. Details are FFS including the following:</w:t>
            </w:r>
          </w:p>
          <w:p w:rsidR="00FA31F5" w:rsidRPr="00E07D69" w:rsidRDefault="00FA31F5" w:rsidP="00FA31F5">
            <w:pPr>
              <w:pStyle w:val="LGTdoc"/>
              <w:numPr>
                <w:ilvl w:val="2"/>
                <w:numId w:val="2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Whether to introduce an additional criterion in deciding HARQ-NACK transmission</w:t>
            </w:r>
          </w:p>
          <w:p w:rsidR="00FA31F5" w:rsidRPr="00E07D69" w:rsidRDefault="00FA31F5" w:rsidP="00FA31F5">
            <w:pPr>
              <w:pStyle w:val="LGTdoc"/>
              <w:numPr>
                <w:ilvl w:val="2"/>
                <w:numId w:val="2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Whether/how to handle DTX issue (i.e., transmitter UE cannot recognize the case that a receiver UE misses PSCCH scheduling PSSCH)</w:t>
            </w:r>
          </w:p>
          <w:p w:rsidR="00FA31F5" w:rsidRPr="00E07D69" w:rsidRDefault="00FA31F5" w:rsidP="00FA31F5">
            <w:pPr>
              <w:pStyle w:val="LGTdoc"/>
              <w:numPr>
                <w:ilvl w:val="2"/>
                <w:numId w:val="2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Issues when multiple receiver UEs transmit HARQ-NACK on the same resource</w:t>
            </w:r>
          </w:p>
          <w:p w:rsidR="00FA31F5" w:rsidRPr="00E07D69" w:rsidRDefault="00FA31F5" w:rsidP="00FA31F5">
            <w:pPr>
              <w:pStyle w:val="LGTdoc"/>
              <w:numPr>
                <w:ilvl w:val="3"/>
                <w:numId w:val="2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How to determine the presence of HARQ-NACK transmissions from receiver UEs</w:t>
            </w:r>
          </w:p>
          <w:p w:rsidR="00FA31F5" w:rsidRPr="00E07D69" w:rsidRDefault="00FA31F5" w:rsidP="00FA31F5">
            <w:pPr>
              <w:pStyle w:val="LGTdoc"/>
              <w:numPr>
                <w:ilvl w:val="3"/>
                <w:numId w:val="2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Whether/how to handle destructive channel sum effect of HARQ-NACK transmissions from multiple receiver UEs if the same signal is used</w:t>
            </w:r>
          </w:p>
          <w:p w:rsidR="00FA31F5" w:rsidRPr="00E07D69" w:rsidRDefault="00FA31F5" w:rsidP="00FA31F5">
            <w:pPr>
              <w:pStyle w:val="LGTdoc"/>
              <w:numPr>
                <w:ilvl w:val="1"/>
                <w:numId w:val="2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 xml:space="preserve">Option 2: Receiver UE transmits HARQ-ACK on PSFCH if it successfully decodes the </w:t>
            </w:r>
            <w:r w:rsidRPr="00E07D69">
              <w:rPr>
                <w:rFonts w:ascii="Times New Roman" w:hAnsi="Times New Roman" w:cs="Times New Roman"/>
                <w:sz w:val="20"/>
                <w:szCs w:val="20"/>
              </w:rPr>
              <w:lastRenderedPageBreak/>
              <w:t>corresponding TB. It transmits HARQ-NACK on PSFCH if it does not successfully decode the corresponding TB after decoding the associated PSCCH which targets the receiver UE. Details are FFS including the following:</w:t>
            </w:r>
          </w:p>
          <w:p w:rsidR="00FA31F5" w:rsidRPr="00E07D69" w:rsidRDefault="00FA31F5" w:rsidP="00FA31F5">
            <w:pPr>
              <w:pStyle w:val="LGTdoc"/>
              <w:numPr>
                <w:ilvl w:val="2"/>
                <w:numId w:val="2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Whether to introduce an additional criterion in deciding HARQ-ACK/NACK transmission</w:t>
            </w:r>
          </w:p>
          <w:p w:rsidR="00FA31F5" w:rsidRPr="00E07D69" w:rsidRDefault="00FA31F5" w:rsidP="00FA31F5">
            <w:pPr>
              <w:pStyle w:val="LGTdoc"/>
              <w:numPr>
                <w:ilvl w:val="2"/>
                <w:numId w:val="2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How to determine the PSFCH resource used by each receiver UE</w:t>
            </w:r>
          </w:p>
          <w:p w:rsidR="00FA31F5" w:rsidRPr="00E07D69" w:rsidRDefault="00FA31F5" w:rsidP="00FA31F5">
            <w:pPr>
              <w:pStyle w:val="LGTdoc"/>
              <w:numPr>
                <w:ilvl w:val="1"/>
                <w:numId w:val="2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FFS whether to support SL HARQ feedback per CBG</w:t>
            </w:r>
          </w:p>
          <w:p w:rsidR="00FA31F5" w:rsidRPr="00E07D69" w:rsidRDefault="00FA31F5" w:rsidP="00FA31F5">
            <w:pPr>
              <w:pStyle w:val="LGTdoc"/>
              <w:numPr>
                <w:ilvl w:val="1"/>
                <w:numId w:val="2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Other options are not precluded</w:t>
            </w:r>
          </w:p>
          <w:p w:rsidR="00FA31F5" w:rsidRPr="0028085B" w:rsidRDefault="00FA31F5" w:rsidP="00586CD5">
            <w:pPr>
              <w:pStyle w:val="bullet2"/>
              <w:numPr>
                <w:ilvl w:val="0"/>
                <w:numId w:val="0"/>
              </w:numPr>
              <w:rPr>
                <w:rFonts w:ascii="Times New Roman" w:hAnsi="Times New Roman"/>
                <w:szCs w:val="20"/>
              </w:rPr>
            </w:pPr>
          </w:p>
        </w:tc>
      </w:tr>
    </w:tbl>
    <w:p w:rsidR="00FA31F5" w:rsidRDefault="00FA31F5" w:rsidP="00A6533D">
      <w:pPr>
        <w:rPr>
          <w:rFonts w:ascii="Calibri" w:eastAsia="Calibri" w:hAnsi="Calibri" w:cs="Arial"/>
        </w:rPr>
      </w:pPr>
    </w:p>
    <w:p w:rsidR="00FA31F5" w:rsidRDefault="00FA31F5" w:rsidP="00A6533D">
      <w:pPr>
        <w:rPr>
          <w:rFonts w:ascii="Calibri" w:eastAsia="Calibri" w:hAnsi="Calibri" w:cs="Arial"/>
        </w:rPr>
      </w:pPr>
      <w:r>
        <w:rPr>
          <w:rFonts w:ascii="Calibri" w:eastAsia="Calibri" w:hAnsi="Calibri" w:cs="Arial"/>
        </w:rPr>
        <w:t xml:space="preserve">It is also agreed that the SL HARQ can be turned off </w:t>
      </w:r>
      <w:r w:rsidR="00EE6BF1">
        <w:rPr>
          <w:rFonts w:ascii="Calibri" w:eastAsia="Calibri" w:hAnsi="Calibri" w:cs="Arial"/>
        </w:rPr>
        <w:t>when necessary: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E6BF1" w:rsidRPr="0028085B" w:rsidTr="00586CD5">
        <w:tc>
          <w:tcPr>
            <w:tcW w:w="9629" w:type="dxa"/>
            <w:shd w:val="clear" w:color="auto" w:fill="auto"/>
          </w:tcPr>
          <w:p w:rsidR="00EE6BF1" w:rsidRPr="00EE6BF1" w:rsidRDefault="00EE6BF1" w:rsidP="00586CD5">
            <w:pPr>
              <w:rPr>
                <w:rFonts w:ascii="Times New Roman" w:hAnsi="Times New Roman" w:cs="Times New Roman"/>
                <w:sz w:val="20"/>
                <w:szCs w:val="20"/>
                <w:lang w:eastAsia="x-none"/>
              </w:rPr>
            </w:pPr>
            <w:r w:rsidRPr="00EE6BF1">
              <w:rPr>
                <w:rFonts w:ascii="Times New Roman" w:hAnsi="Times New Roman" w:cs="Times New Roman"/>
                <w:sz w:val="20"/>
                <w:szCs w:val="20"/>
                <w:highlight w:val="green"/>
                <w:lang w:eastAsia="x-none"/>
              </w:rPr>
              <w:t>Agreements</w:t>
            </w:r>
            <w:r w:rsidRPr="00EE6BF1">
              <w:rPr>
                <w:rFonts w:ascii="Times New Roman" w:hAnsi="Times New Roman" w:cs="Times New Roman"/>
                <w:sz w:val="20"/>
                <w:szCs w:val="20"/>
                <w:lang w:eastAsia="x-none"/>
              </w:rPr>
              <w:t>:</w:t>
            </w:r>
          </w:p>
          <w:p w:rsidR="00EE6BF1" w:rsidRPr="00EE6BF1" w:rsidRDefault="00EE6BF1" w:rsidP="00EE6BF1">
            <w:pPr>
              <w:pStyle w:val="LGTdoc"/>
              <w:numPr>
                <w:ilvl w:val="0"/>
                <w:numId w:val="27"/>
              </w:numPr>
              <w:autoSpaceDE w:val="0"/>
              <w:autoSpaceDN w:val="0"/>
              <w:adjustRightInd w:val="0"/>
              <w:spacing w:before="100" w:beforeAutospacing="1" w:afterLines="0" w:after="60"/>
              <w:rPr>
                <w:rFonts w:ascii="Times New Roman" w:hAnsi="Times New Roman" w:cs="Times New Roman"/>
                <w:sz w:val="20"/>
                <w:szCs w:val="20"/>
              </w:rPr>
            </w:pPr>
            <w:r w:rsidRPr="00EE6BF1">
              <w:rPr>
                <w:rFonts w:ascii="Times New Roman" w:hAnsi="Times New Roman" w:cs="Times New Roman"/>
                <w:sz w:val="20"/>
                <w:szCs w:val="20"/>
              </w:rPr>
              <w:t>It is supported to enable and disable SL HARQ feedback in unicast and groupcast.</w:t>
            </w:r>
          </w:p>
          <w:p w:rsidR="00EE6BF1" w:rsidRPr="0021489B" w:rsidRDefault="00EE6BF1" w:rsidP="00EE6BF1">
            <w:pPr>
              <w:pStyle w:val="LGTdoc"/>
              <w:numPr>
                <w:ilvl w:val="1"/>
                <w:numId w:val="27"/>
              </w:numPr>
              <w:autoSpaceDE w:val="0"/>
              <w:autoSpaceDN w:val="0"/>
              <w:adjustRightInd w:val="0"/>
              <w:spacing w:before="100" w:beforeAutospacing="1" w:afterLines="0" w:after="60"/>
              <w:rPr>
                <w:rFonts w:ascii="Calibri" w:hAnsi="Calibri" w:cs="Calibri"/>
                <w:sz w:val="20"/>
                <w:szCs w:val="22"/>
              </w:rPr>
            </w:pPr>
            <w:r w:rsidRPr="00EE6BF1">
              <w:rPr>
                <w:rFonts w:ascii="Times New Roman" w:hAnsi="Times New Roman" w:cs="Times New Roman"/>
                <w:sz w:val="20"/>
                <w:szCs w:val="20"/>
              </w:rPr>
              <w:t>FFS when HARQ feedback is enabled and disabled.</w:t>
            </w:r>
          </w:p>
        </w:tc>
      </w:tr>
    </w:tbl>
    <w:p w:rsidR="00EE6BF1" w:rsidRDefault="00EE6BF1" w:rsidP="00A6533D">
      <w:pPr>
        <w:rPr>
          <w:rFonts w:ascii="Calibri" w:eastAsia="Calibri" w:hAnsi="Calibri" w:cs="Arial"/>
        </w:rPr>
      </w:pPr>
    </w:p>
    <w:p w:rsidR="000B6333" w:rsidRDefault="000B6333" w:rsidP="00A6533D">
      <w:pPr>
        <w:rPr>
          <w:rFonts w:ascii="Calibri" w:eastAsia="Calibri" w:hAnsi="Calibri" w:cs="Arial"/>
        </w:rPr>
      </w:pPr>
      <w:r>
        <w:rPr>
          <w:rFonts w:ascii="Calibri" w:eastAsia="Calibri" w:hAnsi="Calibri" w:cs="Arial"/>
        </w:rPr>
        <w:t>The feedback channel that could carry HARQ ACK/NACK information is defined: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6333" w:rsidRPr="0028085B" w:rsidTr="00586CD5">
        <w:tc>
          <w:tcPr>
            <w:tcW w:w="9629" w:type="dxa"/>
            <w:shd w:val="clear" w:color="auto" w:fill="auto"/>
          </w:tcPr>
          <w:p w:rsidR="000B6333" w:rsidRPr="000B6333" w:rsidRDefault="000B6333" w:rsidP="00586CD5">
            <w:pPr>
              <w:rPr>
                <w:rFonts w:ascii="Times New Roman" w:hAnsi="Times New Roman" w:cs="Times New Roman"/>
                <w:sz w:val="20"/>
                <w:szCs w:val="20"/>
              </w:rPr>
            </w:pPr>
            <w:r w:rsidRPr="000B6333">
              <w:rPr>
                <w:rFonts w:ascii="Times New Roman" w:hAnsi="Times New Roman" w:cs="Times New Roman"/>
                <w:sz w:val="20"/>
                <w:szCs w:val="20"/>
                <w:highlight w:val="green"/>
              </w:rPr>
              <w:t>Agreements</w:t>
            </w:r>
            <w:r w:rsidRPr="000B6333">
              <w:rPr>
                <w:rFonts w:ascii="Times New Roman" w:hAnsi="Times New Roman" w:cs="Times New Roman"/>
                <w:sz w:val="20"/>
                <w:szCs w:val="20"/>
              </w:rPr>
              <w:t>:</w:t>
            </w:r>
          </w:p>
          <w:p w:rsidR="000B6333" w:rsidRPr="000B6333" w:rsidRDefault="000B6333" w:rsidP="000B6333">
            <w:pPr>
              <w:numPr>
                <w:ilvl w:val="0"/>
                <w:numId w:val="25"/>
              </w:numPr>
              <w:spacing w:after="0" w:line="240" w:lineRule="auto"/>
              <w:rPr>
                <w:rFonts w:ascii="Times New Roman" w:hAnsi="Times New Roman" w:cs="Times New Roman"/>
                <w:b/>
                <w:sz w:val="20"/>
                <w:szCs w:val="20"/>
                <w:lang w:eastAsia="ko-KR"/>
              </w:rPr>
            </w:pPr>
            <w:r w:rsidRPr="000B6333">
              <w:rPr>
                <w:rFonts w:ascii="Times New Roman" w:hAnsi="Times New Roman" w:cs="Times New Roman"/>
                <w:sz w:val="20"/>
                <w:szCs w:val="20"/>
              </w:rPr>
              <w:t>Physical sidelink feedback channel (PSFCH) is defined and it is supported to convey SFCI for unicast and groupcast via PSFCH</w:t>
            </w:r>
            <w:r w:rsidRPr="000B6333">
              <w:rPr>
                <w:rFonts w:ascii="Times New Roman" w:hAnsi="Times New Roman" w:cs="Times New Roman"/>
                <w:b/>
                <w:sz w:val="20"/>
                <w:szCs w:val="20"/>
                <w:lang w:eastAsia="ko-KR"/>
              </w:rPr>
              <w:t>.</w:t>
            </w:r>
          </w:p>
          <w:p w:rsidR="000B6333" w:rsidRPr="0028085B" w:rsidRDefault="000B6333" w:rsidP="00586CD5">
            <w:pPr>
              <w:pStyle w:val="bullet2"/>
              <w:numPr>
                <w:ilvl w:val="0"/>
                <w:numId w:val="0"/>
              </w:numPr>
              <w:rPr>
                <w:rFonts w:ascii="Times New Roman" w:hAnsi="Times New Roman"/>
                <w:szCs w:val="20"/>
              </w:rPr>
            </w:pPr>
          </w:p>
        </w:tc>
      </w:tr>
    </w:tbl>
    <w:p w:rsidR="000B6333" w:rsidRDefault="000B6333" w:rsidP="00A6533D">
      <w:pPr>
        <w:rPr>
          <w:rFonts w:ascii="Calibri" w:eastAsia="Calibri" w:hAnsi="Calibri" w:cs="Arial"/>
        </w:rPr>
      </w:pPr>
    </w:p>
    <w:p w:rsidR="000B6333" w:rsidRDefault="000B6333" w:rsidP="00A6533D">
      <w:pPr>
        <w:rPr>
          <w:rFonts w:ascii="Calibri" w:eastAsia="Calibri" w:hAnsi="Calibri" w:cs="Arial"/>
        </w:rPr>
      </w:pPr>
      <w:r>
        <w:rPr>
          <w:rFonts w:ascii="Calibri" w:eastAsia="Calibri" w:hAnsi="Calibri" w:cs="Arial"/>
        </w:rPr>
        <w:t xml:space="preserve">RAN1 also agreed to further study the message exchange between UE and gNB for possible sidelink retransmission under mode-1, where gNB network coverage is available.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6333" w:rsidRPr="0028085B" w:rsidTr="00586CD5">
        <w:tc>
          <w:tcPr>
            <w:tcW w:w="9629" w:type="dxa"/>
            <w:shd w:val="clear" w:color="auto" w:fill="auto"/>
          </w:tcPr>
          <w:p w:rsidR="000B6333" w:rsidRPr="000B6333" w:rsidRDefault="000B6333" w:rsidP="00586CD5">
            <w:pPr>
              <w:rPr>
                <w:rFonts w:ascii="Times New Roman" w:hAnsi="Times New Roman" w:cs="Times New Roman"/>
                <w:sz w:val="20"/>
                <w:szCs w:val="20"/>
                <w:lang w:eastAsia="x-none"/>
              </w:rPr>
            </w:pPr>
            <w:r w:rsidRPr="000B6333">
              <w:rPr>
                <w:rFonts w:ascii="Times New Roman" w:hAnsi="Times New Roman" w:cs="Times New Roman"/>
                <w:sz w:val="20"/>
                <w:szCs w:val="20"/>
                <w:highlight w:val="green"/>
                <w:lang w:eastAsia="x-none"/>
              </w:rPr>
              <w:t>Agreements</w:t>
            </w:r>
            <w:r w:rsidRPr="000B6333">
              <w:rPr>
                <w:rFonts w:ascii="Times New Roman" w:hAnsi="Times New Roman" w:cs="Times New Roman"/>
                <w:sz w:val="20"/>
                <w:szCs w:val="20"/>
                <w:lang w:eastAsia="x-none"/>
              </w:rPr>
              <w:t>:</w:t>
            </w:r>
          </w:p>
          <w:p w:rsidR="000B6333" w:rsidRPr="000B6333" w:rsidRDefault="000B6333" w:rsidP="000B6333">
            <w:pPr>
              <w:pStyle w:val="LGTdoc"/>
              <w:numPr>
                <w:ilvl w:val="0"/>
                <w:numId w:val="28"/>
              </w:numPr>
              <w:autoSpaceDE w:val="0"/>
              <w:autoSpaceDN w:val="0"/>
              <w:adjustRightInd w:val="0"/>
              <w:spacing w:before="100" w:beforeAutospacing="1" w:afterLines="0" w:after="60"/>
              <w:rPr>
                <w:rFonts w:ascii="Times New Roman" w:hAnsi="Times New Roman" w:cs="Times New Roman"/>
                <w:sz w:val="20"/>
                <w:szCs w:val="20"/>
              </w:rPr>
            </w:pPr>
            <w:r w:rsidRPr="000B6333">
              <w:rPr>
                <w:rFonts w:ascii="Times New Roman" w:hAnsi="Times New Roman" w:cs="Times New Roman"/>
                <w:sz w:val="20"/>
                <w:szCs w:val="20"/>
              </w:rPr>
              <w:t>Study further whether to support UE sending to gNB information which may trigger scheduling retransmission resource in mode 1. FFS including</w:t>
            </w:r>
          </w:p>
          <w:p w:rsidR="000B6333" w:rsidRPr="000B6333" w:rsidRDefault="000B6333" w:rsidP="000B6333">
            <w:pPr>
              <w:pStyle w:val="LGTdoc"/>
              <w:numPr>
                <w:ilvl w:val="1"/>
                <w:numId w:val="28"/>
              </w:numPr>
              <w:autoSpaceDE w:val="0"/>
              <w:autoSpaceDN w:val="0"/>
              <w:adjustRightInd w:val="0"/>
              <w:spacing w:before="100" w:beforeAutospacing="1" w:afterLines="0" w:after="60"/>
              <w:rPr>
                <w:rFonts w:ascii="Times New Roman" w:hAnsi="Times New Roman" w:cs="Times New Roman"/>
                <w:sz w:val="20"/>
                <w:szCs w:val="20"/>
              </w:rPr>
            </w:pPr>
            <w:r w:rsidRPr="000B6333">
              <w:rPr>
                <w:rFonts w:ascii="Times New Roman" w:hAnsi="Times New Roman" w:cs="Times New Roman"/>
                <w:sz w:val="20"/>
                <w:szCs w:val="20"/>
              </w:rPr>
              <w:t>Which information to send</w:t>
            </w:r>
          </w:p>
          <w:p w:rsidR="000B6333" w:rsidRPr="000B6333" w:rsidRDefault="000B6333" w:rsidP="000B6333">
            <w:pPr>
              <w:pStyle w:val="LGTdoc"/>
              <w:numPr>
                <w:ilvl w:val="1"/>
                <w:numId w:val="28"/>
              </w:numPr>
              <w:autoSpaceDE w:val="0"/>
              <w:autoSpaceDN w:val="0"/>
              <w:adjustRightInd w:val="0"/>
              <w:spacing w:before="100" w:beforeAutospacing="1" w:afterLines="0" w:after="60"/>
              <w:rPr>
                <w:rFonts w:ascii="Times New Roman" w:hAnsi="Times New Roman" w:cs="Times New Roman"/>
                <w:sz w:val="20"/>
                <w:szCs w:val="20"/>
              </w:rPr>
            </w:pPr>
            <w:r w:rsidRPr="000B6333">
              <w:rPr>
                <w:rFonts w:ascii="Times New Roman" w:hAnsi="Times New Roman" w:cs="Times New Roman"/>
                <w:sz w:val="20"/>
                <w:szCs w:val="20"/>
              </w:rPr>
              <w:t>Which UE to send to gNB</w:t>
            </w:r>
          </w:p>
          <w:p w:rsidR="000B6333" w:rsidRPr="000B6333" w:rsidRDefault="000B6333" w:rsidP="000B6333">
            <w:pPr>
              <w:pStyle w:val="LGTdoc"/>
              <w:numPr>
                <w:ilvl w:val="1"/>
                <w:numId w:val="28"/>
              </w:numPr>
              <w:autoSpaceDE w:val="0"/>
              <w:autoSpaceDN w:val="0"/>
              <w:adjustRightInd w:val="0"/>
              <w:spacing w:before="100" w:beforeAutospacing="1" w:afterLines="0" w:after="60"/>
              <w:rPr>
                <w:rFonts w:ascii="Times New Roman" w:hAnsi="Times New Roman" w:cs="Times New Roman"/>
                <w:sz w:val="20"/>
                <w:szCs w:val="20"/>
              </w:rPr>
            </w:pPr>
            <w:r w:rsidRPr="000B6333">
              <w:rPr>
                <w:rFonts w:ascii="Times New Roman" w:hAnsi="Times New Roman" w:cs="Times New Roman"/>
                <w:sz w:val="20"/>
                <w:szCs w:val="20"/>
              </w:rPr>
              <w:t>Which channel to use</w:t>
            </w:r>
          </w:p>
          <w:p w:rsidR="000B6333" w:rsidRPr="000B6333" w:rsidRDefault="000B6333" w:rsidP="000B6333">
            <w:pPr>
              <w:pStyle w:val="LGTdoc"/>
              <w:numPr>
                <w:ilvl w:val="1"/>
                <w:numId w:val="28"/>
              </w:numPr>
              <w:autoSpaceDE w:val="0"/>
              <w:autoSpaceDN w:val="0"/>
              <w:adjustRightInd w:val="0"/>
              <w:spacing w:before="100" w:beforeAutospacing="1" w:afterLines="0" w:after="60"/>
              <w:rPr>
                <w:rFonts w:ascii="Times New Roman" w:hAnsi="Times New Roman" w:cs="Times New Roman"/>
                <w:sz w:val="20"/>
                <w:szCs w:val="20"/>
              </w:rPr>
            </w:pPr>
            <w:r w:rsidRPr="000B6333">
              <w:rPr>
                <w:rFonts w:ascii="Times New Roman" w:hAnsi="Times New Roman" w:cs="Times New Roman"/>
                <w:sz w:val="20"/>
                <w:szCs w:val="20"/>
              </w:rPr>
              <w:t>Which resource to use</w:t>
            </w:r>
          </w:p>
          <w:p w:rsidR="000B6333" w:rsidRPr="0028085B" w:rsidRDefault="000B6333" w:rsidP="00586CD5">
            <w:pPr>
              <w:pStyle w:val="bullet2"/>
              <w:numPr>
                <w:ilvl w:val="0"/>
                <w:numId w:val="0"/>
              </w:numPr>
              <w:rPr>
                <w:rFonts w:ascii="Times New Roman" w:hAnsi="Times New Roman"/>
                <w:szCs w:val="20"/>
              </w:rPr>
            </w:pPr>
          </w:p>
        </w:tc>
      </w:tr>
    </w:tbl>
    <w:p w:rsidR="000B6333" w:rsidRDefault="000B6333" w:rsidP="00A6533D">
      <w:pPr>
        <w:rPr>
          <w:rFonts w:ascii="Calibri" w:eastAsia="Calibri" w:hAnsi="Calibri" w:cs="Arial"/>
        </w:rPr>
      </w:pPr>
    </w:p>
    <w:p w:rsidR="0028085B" w:rsidRPr="0028085B" w:rsidRDefault="00573CA2" w:rsidP="0028085B">
      <w:pPr>
        <w:rPr>
          <w:rFonts w:ascii="Times New Roman" w:eastAsia="Calibri" w:hAnsi="Times New Roman" w:cs="Times New Roman"/>
          <w:sz w:val="20"/>
          <w:szCs w:val="20"/>
        </w:rPr>
      </w:pPr>
      <w:r>
        <w:rPr>
          <w:rFonts w:ascii="Calibri" w:eastAsia="Calibri" w:hAnsi="Calibri" w:cs="Arial"/>
        </w:rPr>
        <w:t>This contribution provides further discussion regarding the detail</w:t>
      </w:r>
      <w:r w:rsidR="00F92B2F">
        <w:rPr>
          <w:rFonts w:ascii="Calibri" w:eastAsia="Calibri" w:hAnsi="Calibri" w:cs="Arial"/>
        </w:rPr>
        <w:t>s of HARQ operation and other physical layer procedures to support sidelink operation.</w:t>
      </w:r>
    </w:p>
    <w:bookmarkEnd w:id="0"/>
    <w:p w:rsidR="00910515" w:rsidRDefault="00910515" w:rsidP="0058787A">
      <w:pPr>
        <w:spacing w:after="0"/>
        <w:rPr>
          <w:iCs/>
        </w:rPr>
      </w:pPr>
    </w:p>
    <w:p w:rsidR="00E463CB" w:rsidRPr="00313E18" w:rsidRDefault="00E463CB" w:rsidP="0058787A">
      <w:pPr>
        <w:spacing w:after="0"/>
        <w:rPr>
          <w:iCs/>
        </w:rPr>
      </w:pPr>
    </w:p>
    <w:p w:rsidR="00B40D00" w:rsidRDefault="00B40D00" w:rsidP="00635DE5">
      <w:pPr>
        <w:pStyle w:val="Heading1"/>
        <w:spacing w:after="120"/>
        <w:jc w:val="both"/>
        <w:rPr>
          <w:lang w:val="en-US" w:eastAsia="zh-CN"/>
        </w:rPr>
      </w:pPr>
      <w:r>
        <w:rPr>
          <w:lang w:val="en-US" w:eastAsia="zh-CN"/>
        </w:rPr>
        <w:lastRenderedPageBreak/>
        <w:t>Discussion on sidelink physical layer procedures</w:t>
      </w:r>
    </w:p>
    <w:p w:rsidR="00B40D00" w:rsidRPr="00B40D00" w:rsidRDefault="00B40D00" w:rsidP="00B40D00"/>
    <w:p w:rsidR="00F67C1F" w:rsidRDefault="00B40D00" w:rsidP="00FC58B1">
      <w:r>
        <w:rPr>
          <w:rFonts w:eastAsia="DengXian"/>
          <w:b/>
          <w:u w:val="single"/>
        </w:rPr>
        <w:t>Sidelink HARQ feedback and combination</w:t>
      </w:r>
    </w:p>
    <w:p w:rsidR="00B65CC2" w:rsidRPr="00B65CC2" w:rsidRDefault="00B65CC2" w:rsidP="00840BAC">
      <w:pPr>
        <w:jc w:val="both"/>
      </w:pPr>
      <w:r w:rsidRPr="00B65CC2">
        <w:t xml:space="preserve">The </w:t>
      </w:r>
      <w:r>
        <w:t xml:space="preserve">most </w:t>
      </w:r>
      <w:r w:rsidRPr="00B65CC2">
        <w:t xml:space="preserve">common V2X use cases, </w:t>
      </w:r>
      <w:r>
        <w:t xml:space="preserve">such as vehicle platooning, </w:t>
      </w:r>
      <w:r w:rsidRPr="00B65CC2">
        <w:t>as suggested in SA1, are related to groupcast or broadcast. For groupcast, t</w:t>
      </w:r>
      <w:r w:rsidR="00840BAC">
        <w:t>he UEs in the group need to be a</w:t>
      </w:r>
      <w:r w:rsidRPr="00B65CC2">
        <w:t xml:space="preserve">ware the presence of their </w:t>
      </w:r>
      <w:r>
        <w:t xml:space="preserve">group </w:t>
      </w:r>
      <w:r w:rsidRPr="00B65CC2">
        <w:t>peers before data transmission. The physical channels among these UEs in t</w:t>
      </w:r>
      <w:r>
        <w:t>he group usually have different quality which makes reliable group communication challenging.</w:t>
      </w:r>
      <w:r w:rsidRPr="00B65CC2">
        <w:t xml:space="preserve"> </w:t>
      </w:r>
    </w:p>
    <w:p w:rsidR="00B65CC2" w:rsidRPr="00B65CC2" w:rsidRDefault="00B65CC2" w:rsidP="00840BAC">
      <w:pPr>
        <w:jc w:val="both"/>
      </w:pPr>
      <w:r>
        <w:t>Re-trans</w:t>
      </w:r>
      <w:r w:rsidR="00EE0D13">
        <w:t xml:space="preserve">mission is a simple approach to boost transmission reliability at the expense of latency. </w:t>
      </w:r>
      <w:r w:rsidR="00840BAC">
        <w:t>It is agreed that HARQ feedback and HARQ combining will be supported for both unicast and groupcast sidelink.</w:t>
      </w:r>
      <w:r w:rsidRPr="00B65CC2">
        <w:t xml:space="preserve"> Different </w:t>
      </w:r>
      <w:r w:rsidR="00840BAC">
        <w:t>from</w:t>
      </w:r>
      <w:r w:rsidRPr="00B65CC2">
        <w:t xml:space="preserve"> unicast, the HARQ scheme of groupcast needs to receive all ACK information from more than one group members. Once the UE receives all ACK feedback information, it can determine its retransmission scheme to enable its reliable groupcast transmission.</w:t>
      </w:r>
    </w:p>
    <w:p w:rsidR="00B65CC2" w:rsidRPr="00B65CC2" w:rsidRDefault="00EE0D13" w:rsidP="00840BAC">
      <w:pPr>
        <w:jc w:val="both"/>
      </w:pPr>
      <w:r>
        <w:t xml:space="preserve">A simple criterion for groupcast HARQ is to </w:t>
      </w:r>
      <w:r w:rsidR="00B65CC2" w:rsidRPr="00B65CC2">
        <w:t xml:space="preserve">target the worst channel among all links in the group. This indicates that the </w:t>
      </w:r>
      <w:r>
        <w:t xml:space="preserve">source </w:t>
      </w:r>
      <w:r w:rsidR="00B65CC2" w:rsidRPr="00B65CC2">
        <w:t>UE will continue retransmitting until it receives all positive ACK from all its peers in the group. The poorest link quality in the group shall determine the latency and efficiency of the HARQ.</w:t>
      </w:r>
      <w:r>
        <w:t xml:space="preserve"> Of course, other retransmission criterion can also be applied. Alternative scheme is that the groupcast transmission is complete when </w:t>
      </w:r>
      <w:r w:rsidR="008B1D56">
        <w:t xml:space="preserve">ACK(s) are received from </w:t>
      </w:r>
      <w:r>
        <w:t>majority (not all) of</w:t>
      </w:r>
      <w:r w:rsidR="008B1D56">
        <w:t xml:space="preserve"> its group members</w:t>
      </w:r>
      <w:r>
        <w:t>.</w:t>
      </w:r>
    </w:p>
    <w:p w:rsidR="00B65CC2" w:rsidRPr="00B65CC2" w:rsidRDefault="00B65CC2" w:rsidP="00840BAC">
      <w:pPr>
        <w:jc w:val="both"/>
      </w:pPr>
      <w:r w:rsidRPr="00B65CC2">
        <w:t>Different from HARQ of unicast, the efficiency of groupcast HARQ will depend on the number of communication links in the group. Higher number of UEs in the group, which will have higher number of communication links, usually will result in lower efficiency for HARQ. It is desirable to have an efficient HARQ design to support groupcasting communication.</w:t>
      </w:r>
    </w:p>
    <w:p w:rsidR="00F65C9E" w:rsidRDefault="00F65C9E" w:rsidP="00F65C9E">
      <w:pPr>
        <w:jc w:val="both"/>
      </w:pPr>
      <w:r>
        <w:t>Unicast will support HARQ feedback. It would be natural to have a general HARQ procedure to support both unicast and groupcast, where the HARQ can be configured to support feedback from more than one UEs. We propose:</w:t>
      </w:r>
    </w:p>
    <w:p w:rsidR="00F65C9E" w:rsidRPr="00F65C9E" w:rsidRDefault="00F65C9E" w:rsidP="00F65C9E">
      <w:pPr>
        <w:jc w:val="both"/>
        <w:rPr>
          <w:b/>
        </w:rPr>
      </w:pPr>
      <w:r w:rsidRPr="00F65C9E">
        <w:rPr>
          <w:b/>
        </w:rPr>
        <w:t>Proposal 1: Design one general HARQ feedback procedure to support both sidelink unicast and groupcast.</w:t>
      </w:r>
    </w:p>
    <w:p w:rsidR="00AC5572" w:rsidRDefault="00AC5572" w:rsidP="00AC5572">
      <w:pPr>
        <w:jc w:val="both"/>
      </w:pPr>
      <w:r>
        <w:t xml:space="preserve">Multiple HARQ feedback schemes could be proposed to support groupcast. For example, the source UE can continue its retransmission until it receives all ACK(s) or majority of ACK(s). How to evaluate the performance of various HARQ schemes so that a specific design can be selected? Usually the maximum number of retransmission is preconfigured. The evaluation performance shall be depended on the HARQ resource usage rate at various SNR, where the resource usage rate is defined as the ratio between actually used resource and the allocated reTx resource. When the SNR is high, there will be a few retransmission, indicating a very low resource usage rate. The HARQ resource usage rate will be high at the lower SNR where close to maximum HARQ retransmission is needed. </w:t>
      </w:r>
    </w:p>
    <w:p w:rsidR="00AC5572" w:rsidRPr="00AC5572" w:rsidRDefault="00AC5572" w:rsidP="00AC5572">
      <w:pPr>
        <w:jc w:val="both"/>
        <w:rPr>
          <w:b/>
        </w:rPr>
      </w:pPr>
      <w:r w:rsidRPr="00AC5572">
        <w:rPr>
          <w:b/>
        </w:rPr>
        <w:t>Proposal 2: Using HARQ resource usage rate performance at various SNR to evaluate HARQ feedback performance for groupcast.</w:t>
      </w:r>
    </w:p>
    <w:p w:rsidR="00F65C9E" w:rsidRDefault="00205554" w:rsidP="00205554">
      <w:pPr>
        <w:jc w:val="both"/>
      </w:pPr>
      <w:r>
        <w:t>RAN1 has agreed to define SFCI (sidelink feedback control information) as the payload to co</w:t>
      </w:r>
      <w:r w:rsidR="00F92B2F">
        <w:t xml:space="preserve">ntain HARQ feedback information in PSFCH. </w:t>
      </w:r>
      <w:r w:rsidR="004B09E0">
        <w:t>However, t</w:t>
      </w:r>
      <w:r>
        <w:t xml:space="preserve">he </w:t>
      </w:r>
      <w:r w:rsidR="00F92B2F">
        <w:t xml:space="preserve">detailed </w:t>
      </w:r>
      <w:r w:rsidR="004B09E0">
        <w:t xml:space="preserve">design of </w:t>
      </w:r>
      <w:r w:rsidR="00F92B2F">
        <w:t>PSFCH</w:t>
      </w:r>
      <w:r>
        <w:t xml:space="preserve"> to hold SFCI is still open.</w:t>
      </w:r>
      <w:r w:rsidR="004B09E0">
        <w:t xml:space="preserve"> </w:t>
      </w:r>
      <w:r>
        <w:t>The timing of the feedback channel should be at a fixed de</w:t>
      </w:r>
      <w:r w:rsidR="00F92B2F">
        <w:t>lay slot from the transmit slot, aka, synchronized PSFCH.</w:t>
      </w:r>
      <w:r>
        <w:t xml:space="preserve"> This could be easier for the source UE to collect all feedback information from group members for groupcast. </w:t>
      </w:r>
    </w:p>
    <w:p w:rsidR="00205554" w:rsidRPr="004B09E0" w:rsidRDefault="004B09E0" w:rsidP="001562FD">
      <w:pPr>
        <w:rPr>
          <w:b/>
        </w:rPr>
      </w:pPr>
      <w:r w:rsidRPr="004B09E0">
        <w:rPr>
          <w:b/>
        </w:rPr>
        <w:lastRenderedPageBreak/>
        <w:t xml:space="preserve">Proposal 3: Support </w:t>
      </w:r>
      <w:r w:rsidR="00F92B2F">
        <w:rPr>
          <w:b/>
        </w:rPr>
        <w:t>synchronized</w:t>
      </w:r>
      <w:r w:rsidRPr="004B09E0">
        <w:rPr>
          <w:b/>
        </w:rPr>
        <w:t xml:space="preserve"> </w:t>
      </w:r>
      <w:r w:rsidR="00F92B2F">
        <w:rPr>
          <w:b/>
        </w:rPr>
        <w:t>PSFCH</w:t>
      </w:r>
      <w:r w:rsidR="00ED4713">
        <w:rPr>
          <w:b/>
        </w:rPr>
        <w:t xml:space="preserve"> with a fixed timing.</w:t>
      </w:r>
    </w:p>
    <w:p w:rsidR="00B40D00" w:rsidRDefault="00ED4713" w:rsidP="001562FD">
      <w:r>
        <w:t>RAN1 #95 meeting has agreed to further study two options for SL groupcast HARQ operation:</w:t>
      </w:r>
    </w:p>
    <w:p w:rsidR="00ED4713" w:rsidRPr="00ED4713" w:rsidRDefault="00ED4713" w:rsidP="00ED4713">
      <w:pPr>
        <w:pStyle w:val="ListParagraph"/>
        <w:numPr>
          <w:ilvl w:val="0"/>
          <w:numId w:val="29"/>
        </w:numPr>
        <w:rPr>
          <w:rFonts w:cs="Calibri"/>
        </w:rPr>
      </w:pPr>
      <w:r w:rsidRPr="00ED4713">
        <w:rPr>
          <w:rFonts w:cs="Calibri" w:hint="eastAsia"/>
        </w:rPr>
        <w:t>Option 1: R</w:t>
      </w:r>
      <w:r w:rsidRPr="00ED4713">
        <w:rPr>
          <w:rFonts w:cs="Calibri"/>
        </w:rPr>
        <w:t xml:space="preserve">eceiver UE transmits HARQ-NACK on PSFCH if it fails to decode the corresponding </w:t>
      </w:r>
      <w:r w:rsidRPr="00ED4713">
        <w:rPr>
          <w:rFonts w:cs="Calibri" w:hint="eastAsia"/>
        </w:rPr>
        <w:t>TB after decoding the associated PSCCH</w:t>
      </w:r>
      <w:r w:rsidRPr="00ED4713">
        <w:rPr>
          <w:rFonts w:cs="Calibri"/>
        </w:rPr>
        <w:t>. It transmits no signal on PSFCH otherwise.</w:t>
      </w:r>
    </w:p>
    <w:p w:rsidR="00ED4713" w:rsidRPr="00ED4713" w:rsidRDefault="00ED4713" w:rsidP="00ED4713">
      <w:pPr>
        <w:pStyle w:val="ListParagraph"/>
        <w:numPr>
          <w:ilvl w:val="0"/>
          <w:numId w:val="29"/>
        </w:numPr>
      </w:pPr>
      <w:r w:rsidRPr="00ED4713">
        <w:rPr>
          <w:rFonts w:cs="Calibri"/>
        </w:rPr>
        <w:t xml:space="preserve">Option 2: </w:t>
      </w:r>
      <w:r w:rsidRPr="00ED4713">
        <w:rPr>
          <w:rFonts w:cs="Calibri" w:hint="eastAsia"/>
        </w:rPr>
        <w:t>R</w:t>
      </w:r>
      <w:r w:rsidRPr="00ED4713">
        <w:rPr>
          <w:rFonts w:cs="Calibri"/>
        </w:rPr>
        <w:t xml:space="preserve">eceiver UE </w:t>
      </w:r>
      <w:r w:rsidRPr="00ED4713">
        <w:rPr>
          <w:rFonts w:cs="Calibri" w:hint="eastAsia"/>
        </w:rPr>
        <w:t>transmit</w:t>
      </w:r>
      <w:r w:rsidRPr="00ED4713">
        <w:rPr>
          <w:rFonts w:cs="Calibri"/>
        </w:rPr>
        <w:t xml:space="preserve">s HARQ-ACK on PSFCH </w:t>
      </w:r>
      <w:r w:rsidRPr="00ED4713">
        <w:rPr>
          <w:rFonts w:cs="Calibri" w:hint="eastAsia"/>
        </w:rPr>
        <w:t xml:space="preserve">if it </w:t>
      </w:r>
      <w:r w:rsidRPr="00ED4713">
        <w:rPr>
          <w:rFonts w:cs="Calibri"/>
        </w:rPr>
        <w:t>successfully</w:t>
      </w:r>
      <w:r w:rsidRPr="00ED4713">
        <w:rPr>
          <w:rFonts w:cs="Calibri" w:hint="eastAsia"/>
        </w:rPr>
        <w:t xml:space="preserve"> decodes the corresponding TB. It transmits </w:t>
      </w:r>
      <w:r w:rsidRPr="00ED4713">
        <w:rPr>
          <w:rFonts w:cs="Calibri"/>
        </w:rPr>
        <w:t>HARQ-NACK</w:t>
      </w:r>
      <w:r w:rsidRPr="00ED4713">
        <w:rPr>
          <w:rFonts w:cs="Calibri" w:hint="eastAsia"/>
        </w:rPr>
        <w:t xml:space="preserve"> </w:t>
      </w:r>
      <w:r w:rsidRPr="00ED4713">
        <w:rPr>
          <w:rFonts w:cs="Calibri"/>
        </w:rPr>
        <w:t xml:space="preserve">on PSFCH if it </w:t>
      </w:r>
      <w:r w:rsidRPr="00ED4713">
        <w:rPr>
          <w:rFonts w:cs="Calibri" w:hint="eastAsia"/>
        </w:rPr>
        <w:t>does not successfully</w:t>
      </w:r>
      <w:r w:rsidRPr="00ED4713">
        <w:rPr>
          <w:rFonts w:cs="Calibri"/>
        </w:rPr>
        <w:t xml:space="preserve"> decode the corresponding </w:t>
      </w:r>
      <w:r w:rsidRPr="00ED4713">
        <w:rPr>
          <w:rFonts w:cs="Calibri" w:hint="eastAsia"/>
        </w:rPr>
        <w:t>TB after decoding the associated PSCCH which targets the receiver UE.</w:t>
      </w:r>
    </w:p>
    <w:p w:rsidR="00ED4713" w:rsidRDefault="00ED4713" w:rsidP="006407BC">
      <w:pPr>
        <w:jc w:val="both"/>
      </w:pPr>
      <w:r>
        <w:t>The benefit of Option 1 is the reduction of potential ACK feedback when all group members have relative good sidelink channel condition</w:t>
      </w:r>
      <w:bookmarkStart w:id="1" w:name="_GoBack"/>
      <w:bookmarkEnd w:id="1"/>
      <w:r>
        <w:t>, compared to Option 2. However, the critical issue of Option 1, as indicated in the agreement, is the DTX issue. With this approach, Tx UE won’t be able to distinguish an ACK and a DTX from a receiving UE. It would likely to treat all DTX as ACK, where the receiving side won’t be able to detect SL transmission at all. This could cause significant reliability issue for overall HARQ operation, where HARQ is supposed to boost sidelink reliability via retransmission. With this consideration, we would support Option 2 for SL groupcast.</w:t>
      </w:r>
    </w:p>
    <w:p w:rsidR="00ED4713" w:rsidRPr="00ED4713" w:rsidRDefault="00ED4713" w:rsidP="001562FD">
      <w:pPr>
        <w:rPr>
          <w:b/>
        </w:rPr>
      </w:pPr>
      <w:r w:rsidRPr="00ED4713">
        <w:rPr>
          <w:b/>
        </w:rPr>
        <w:t xml:space="preserve">Proposal 4: Support Option 2 for SL groupcast HARQ: </w:t>
      </w:r>
      <w:r w:rsidRPr="00ED4713">
        <w:rPr>
          <w:rFonts w:ascii="Calibri" w:hAnsi="Calibri" w:cs="Calibri" w:hint="eastAsia"/>
          <w:b/>
        </w:rPr>
        <w:t>R</w:t>
      </w:r>
      <w:r w:rsidRPr="00ED4713">
        <w:rPr>
          <w:rFonts w:ascii="Calibri" w:hAnsi="Calibri" w:cs="Calibri"/>
          <w:b/>
        </w:rPr>
        <w:t xml:space="preserve">eceiver UE </w:t>
      </w:r>
      <w:r w:rsidRPr="00ED4713">
        <w:rPr>
          <w:rFonts w:ascii="Calibri" w:hAnsi="Calibri" w:cs="Calibri" w:hint="eastAsia"/>
          <w:b/>
        </w:rPr>
        <w:t>transmit</w:t>
      </w:r>
      <w:r w:rsidRPr="00ED4713">
        <w:rPr>
          <w:rFonts w:ascii="Calibri" w:hAnsi="Calibri" w:cs="Calibri"/>
          <w:b/>
        </w:rPr>
        <w:t xml:space="preserve">s HARQ-ACK on PSFCH </w:t>
      </w:r>
      <w:r w:rsidRPr="00ED4713">
        <w:rPr>
          <w:rFonts w:ascii="Calibri" w:hAnsi="Calibri" w:cs="Calibri" w:hint="eastAsia"/>
          <w:b/>
        </w:rPr>
        <w:t xml:space="preserve">if it </w:t>
      </w:r>
      <w:r w:rsidRPr="00ED4713">
        <w:rPr>
          <w:rFonts w:ascii="Calibri" w:hAnsi="Calibri" w:cs="Calibri"/>
          <w:b/>
        </w:rPr>
        <w:t>successfully</w:t>
      </w:r>
      <w:r w:rsidRPr="00ED4713">
        <w:rPr>
          <w:rFonts w:ascii="Calibri" w:hAnsi="Calibri" w:cs="Calibri" w:hint="eastAsia"/>
          <w:b/>
        </w:rPr>
        <w:t xml:space="preserve"> decodes the corresponding TB. It transmits </w:t>
      </w:r>
      <w:r w:rsidRPr="00ED4713">
        <w:rPr>
          <w:rFonts w:ascii="Calibri" w:hAnsi="Calibri" w:cs="Calibri"/>
          <w:b/>
        </w:rPr>
        <w:t>HARQ-NACK</w:t>
      </w:r>
      <w:r w:rsidRPr="00ED4713">
        <w:rPr>
          <w:rFonts w:ascii="Calibri" w:hAnsi="Calibri" w:cs="Calibri" w:hint="eastAsia"/>
          <w:b/>
        </w:rPr>
        <w:t xml:space="preserve"> </w:t>
      </w:r>
      <w:r w:rsidRPr="00ED4713">
        <w:rPr>
          <w:rFonts w:ascii="Calibri" w:hAnsi="Calibri" w:cs="Calibri"/>
          <w:b/>
        </w:rPr>
        <w:t xml:space="preserve">on PSFCH if it </w:t>
      </w:r>
      <w:r w:rsidRPr="00ED4713">
        <w:rPr>
          <w:rFonts w:ascii="Calibri" w:hAnsi="Calibri" w:cs="Calibri" w:hint="eastAsia"/>
          <w:b/>
        </w:rPr>
        <w:t>does not successfully</w:t>
      </w:r>
      <w:r w:rsidRPr="00ED4713">
        <w:rPr>
          <w:rFonts w:ascii="Calibri" w:hAnsi="Calibri" w:cs="Calibri"/>
          <w:b/>
        </w:rPr>
        <w:t xml:space="preserve"> decode the corresponding </w:t>
      </w:r>
      <w:r w:rsidRPr="00ED4713">
        <w:rPr>
          <w:rFonts w:ascii="Calibri" w:hAnsi="Calibri" w:cs="Calibri" w:hint="eastAsia"/>
          <w:b/>
        </w:rPr>
        <w:t>TB after decoding the associated PSCCH which targets the receiver UE.</w:t>
      </w:r>
    </w:p>
    <w:p w:rsidR="00ED4713" w:rsidRDefault="00ED4713" w:rsidP="001562FD"/>
    <w:p w:rsidR="00DA76E0" w:rsidRPr="00387178" w:rsidRDefault="00DA76E0" w:rsidP="00DA76E0">
      <w:pPr>
        <w:rPr>
          <w:rFonts w:eastAsia="DengXian"/>
          <w:b/>
          <w:u w:val="single"/>
        </w:rPr>
      </w:pPr>
      <w:r w:rsidRPr="00387178">
        <w:rPr>
          <w:rFonts w:eastAsia="DengXian"/>
          <w:b/>
          <w:u w:val="single"/>
        </w:rPr>
        <w:t>Power control and link adaptation</w:t>
      </w:r>
    </w:p>
    <w:p w:rsidR="00DA76E0" w:rsidRDefault="00DA76E0" w:rsidP="004B09E0">
      <w:pPr>
        <w:jc w:val="both"/>
        <w:rPr>
          <w:rFonts w:eastAsia="DengXian"/>
        </w:rPr>
      </w:pPr>
      <w:r w:rsidRPr="007C3D89">
        <w:rPr>
          <w:rFonts w:eastAsia="DengXian"/>
        </w:rPr>
        <w:t>G</w:t>
      </w:r>
      <w:r w:rsidRPr="007C3D89">
        <w:rPr>
          <w:rFonts w:eastAsia="DengXian" w:hint="eastAsia"/>
        </w:rPr>
        <w:t xml:space="preserve">roupcast </w:t>
      </w:r>
      <w:r>
        <w:rPr>
          <w:rFonts w:eastAsia="DengXian"/>
        </w:rPr>
        <w:t xml:space="preserve">(e.g. groupcast in a platoon) </w:t>
      </w:r>
      <w:r w:rsidRPr="007C3D89">
        <w:rPr>
          <w:rFonts w:eastAsia="DengXian"/>
        </w:rPr>
        <w:t xml:space="preserve">happens among UEs close to each other. Thus </w:t>
      </w:r>
      <w:r>
        <w:rPr>
          <w:rFonts w:eastAsia="DengXian"/>
        </w:rPr>
        <w:t xml:space="preserve">different from broadcast, </w:t>
      </w:r>
      <w:r w:rsidRPr="007C3D89">
        <w:rPr>
          <w:rFonts w:eastAsia="DengXian"/>
        </w:rPr>
        <w:t>t</w:t>
      </w:r>
      <w:r w:rsidRPr="000C5833">
        <w:rPr>
          <w:rFonts w:eastAsia="DengXian"/>
        </w:rPr>
        <w:t>ransmitting at maximum power will not be required</w:t>
      </w:r>
      <w:r>
        <w:rPr>
          <w:rFonts w:eastAsia="DengXian"/>
        </w:rPr>
        <w:t xml:space="preserve"> for groupcast</w:t>
      </w:r>
      <w:r w:rsidRPr="000C5833">
        <w:rPr>
          <w:rFonts w:eastAsia="DengXian"/>
        </w:rPr>
        <w:t>.</w:t>
      </w:r>
      <w:r>
        <w:rPr>
          <w:rFonts w:eastAsia="DengXian"/>
        </w:rPr>
        <w:t xml:space="preserve"> Power control is necessary which can reduce interference to vehicular UEs outside the group. Similarly, link adaptation is also necessary and beneficial if the transmitter</w:t>
      </w:r>
      <w:r w:rsidRPr="000C5833">
        <w:rPr>
          <w:rFonts w:eastAsia="DengXian"/>
        </w:rPr>
        <w:t xml:space="preserve"> can select the optimal modulation order and coding rate</w:t>
      </w:r>
      <w:r>
        <w:rPr>
          <w:rFonts w:eastAsia="DengXian"/>
        </w:rPr>
        <w:t xml:space="preserve"> (MCS)</w:t>
      </w:r>
      <w:r w:rsidRPr="000C5833">
        <w:rPr>
          <w:rFonts w:eastAsia="DengXian"/>
        </w:rPr>
        <w:t xml:space="preserve"> ba</w:t>
      </w:r>
      <w:r>
        <w:rPr>
          <w:rFonts w:eastAsia="DengXian"/>
        </w:rPr>
        <w:t>sed on the channel qualities</w:t>
      </w:r>
      <w:r w:rsidRPr="000C5833">
        <w:rPr>
          <w:rFonts w:eastAsia="DengXian"/>
        </w:rPr>
        <w:t xml:space="preserve"> </w:t>
      </w:r>
      <w:r>
        <w:rPr>
          <w:rFonts w:eastAsia="DengXian"/>
        </w:rPr>
        <w:t xml:space="preserve">(CQI) </w:t>
      </w:r>
      <w:r w:rsidRPr="000C5833">
        <w:rPr>
          <w:rFonts w:eastAsia="DengXian"/>
        </w:rPr>
        <w:t>t</w:t>
      </w:r>
      <w:r>
        <w:rPr>
          <w:rFonts w:eastAsia="DengXian"/>
        </w:rPr>
        <w:t xml:space="preserve">owards the intended receivers. </w:t>
      </w:r>
    </w:p>
    <w:p w:rsidR="00DA76E0" w:rsidRPr="007C3D89" w:rsidRDefault="00DA76E0" w:rsidP="004B09E0">
      <w:pPr>
        <w:jc w:val="both"/>
        <w:rPr>
          <w:rFonts w:eastAsia="DengXian"/>
        </w:rPr>
      </w:pPr>
      <w:r w:rsidRPr="000C5833">
        <w:rPr>
          <w:rFonts w:eastAsia="DengXian"/>
        </w:rPr>
        <w:t>Power control and link adaptation could in principle make use of channel reciprocity without explicit feedback; however, they could also benefit from feedback mechanisms.</w:t>
      </w:r>
      <w:r>
        <w:rPr>
          <w:rFonts w:eastAsia="DengXian"/>
        </w:rPr>
        <w:t xml:space="preserve"> For groupcast, not every receiver needs to feedback CQI. </w:t>
      </w:r>
      <w:r w:rsidRPr="000C5833">
        <w:rPr>
          <w:rFonts w:eastAsia="DengXian"/>
        </w:rPr>
        <w:t xml:space="preserve"> </w:t>
      </w:r>
      <w:r>
        <w:rPr>
          <w:rFonts w:eastAsia="DengXian"/>
        </w:rPr>
        <w:t xml:space="preserve">The transmitter can advise only the receiver (or a few receivers) with worst channel qualities to feedback CQIs, which will save resources for feedback. </w:t>
      </w:r>
    </w:p>
    <w:p w:rsidR="00DA76E0" w:rsidRPr="000C5833" w:rsidRDefault="00DA76E0" w:rsidP="004B09E0">
      <w:pPr>
        <w:jc w:val="both"/>
        <w:rPr>
          <w:rFonts w:eastAsia="DengXian"/>
          <w:b/>
          <w:bCs/>
        </w:rPr>
      </w:pPr>
      <w:r w:rsidRPr="00283C34">
        <w:rPr>
          <w:b/>
          <w:bCs/>
        </w:rPr>
        <w:t>Proposal</w:t>
      </w:r>
      <w:r w:rsidR="00EE70C4">
        <w:rPr>
          <w:b/>
          <w:bCs/>
        </w:rPr>
        <w:t xml:space="preserve"> </w:t>
      </w:r>
      <w:r w:rsidR="00C3725B">
        <w:rPr>
          <w:b/>
          <w:bCs/>
        </w:rPr>
        <w:t>5</w:t>
      </w:r>
      <w:r w:rsidRPr="00283C34">
        <w:rPr>
          <w:b/>
          <w:bCs/>
        </w:rPr>
        <w:t xml:space="preserve">: </w:t>
      </w:r>
      <w:r>
        <w:rPr>
          <w:b/>
          <w:bCs/>
        </w:rPr>
        <w:t xml:space="preserve">For groupcast, consider that a transmitter advises the limited number of receivers with </w:t>
      </w:r>
      <w:r w:rsidRPr="000C5833">
        <w:rPr>
          <w:b/>
          <w:bCs/>
        </w:rPr>
        <w:t>worst channel qualities to</w:t>
      </w:r>
      <w:r>
        <w:rPr>
          <w:b/>
          <w:bCs/>
        </w:rPr>
        <w:t xml:space="preserve"> feedback CQIs for power control and link adaptation.  </w:t>
      </w:r>
    </w:p>
    <w:p w:rsidR="009B7304" w:rsidRDefault="009B7304" w:rsidP="00FC58B1"/>
    <w:p w:rsidR="0031329F" w:rsidRDefault="008D72CA" w:rsidP="00FC58B1">
      <w:pPr>
        <w:rPr>
          <w:b/>
          <w:u w:val="single"/>
        </w:rPr>
      </w:pPr>
      <w:r>
        <w:rPr>
          <w:b/>
          <w:u w:val="single"/>
        </w:rPr>
        <w:t>Transport of sidelink control information</w:t>
      </w:r>
      <w:r w:rsidR="0031329F">
        <w:rPr>
          <w:b/>
          <w:u w:val="single"/>
        </w:rPr>
        <w:t xml:space="preserve"> via Uu to gNB</w:t>
      </w:r>
    </w:p>
    <w:p w:rsidR="00C3725B" w:rsidRDefault="00C3725B" w:rsidP="004B09E0">
      <w:pPr>
        <w:jc w:val="both"/>
        <w:rPr>
          <w:rFonts w:eastAsia="DengXian"/>
        </w:rPr>
      </w:pPr>
      <w:r>
        <w:rPr>
          <w:rFonts w:eastAsia="DengXian"/>
        </w:rPr>
        <w:t>RAN1 #95 meeting reached the agreement to further study these possible information that UE sends to gNB for possible scheduling retransmission under mode 1:</w:t>
      </w:r>
    </w:p>
    <w:p w:rsidR="00C3725B" w:rsidRPr="00C3725B" w:rsidRDefault="00C3725B" w:rsidP="00C3725B">
      <w:pPr>
        <w:pStyle w:val="LGTdoc"/>
        <w:numPr>
          <w:ilvl w:val="0"/>
          <w:numId w:val="30"/>
        </w:numPr>
        <w:autoSpaceDE w:val="0"/>
        <w:autoSpaceDN w:val="0"/>
        <w:adjustRightInd w:val="0"/>
        <w:spacing w:before="100" w:beforeAutospacing="1" w:afterLines="0" w:after="60"/>
        <w:rPr>
          <w:rFonts w:ascii="Calibri" w:hAnsi="Calibri" w:cs="Calibri"/>
          <w:szCs w:val="22"/>
        </w:rPr>
      </w:pPr>
      <w:r w:rsidRPr="00C3725B">
        <w:rPr>
          <w:rFonts w:ascii="Calibri" w:hAnsi="Calibri" w:cs="Calibri"/>
          <w:szCs w:val="22"/>
        </w:rPr>
        <w:t>W</w:t>
      </w:r>
      <w:r w:rsidRPr="00C3725B">
        <w:rPr>
          <w:rFonts w:ascii="Calibri" w:hAnsi="Calibri" w:cs="Calibri" w:hint="eastAsia"/>
          <w:szCs w:val="22"/>
        </w:rPr>
        <w:t>hich information to send</w:t>
      </w:r>
    </w:p>
    <w:p w:rsidR="00C3725B" w:rsidRPr="00C3725B" w:rsidRDefault="00C3725B" w:rsidP="00C3725B">
      <w:pPr>
        <w:pStyle w:val="LGTdoc"/>
        <w:numPr>
          <w:ilvl w:val="0"/>
          <w:numId w:val="30"/>
        </w:numPr>
        <w:autoSpaceDE w:val="0"/>
        <w:autoSpaceDN w:val="0"/>
        <w:adjustRightInd w:val="0"/>
        <w:spacing w:before="100" w:beforeAutospacing="1" w:afterLines="0" w:after="60"/>
        <w:rPr>
          <w:rFonts w:ascii="Calibri" w:hAnsi="Calibri" w:cs="Calibri"/>
          <w:szCs w:val="22"/>
        </w:rPr>
      </w:pPr>
      <w:r w:rsidRPr="00C3725B">
        <w:rPr>
          <w:rFonts w:ascii="Calibri" w:hAnsi="Calibri" w:cs="Calibri" w:hint="eastAsia"/>
          <w:szCs w:val="22"/>
        </w:rPr>
        <w:t>Which UE to send to gNB</w:t>
      </w:r>
    </w:p>
    <w:p w:rsidR="00C3725B" w:rsidRPr="00C3725B" w:rsidRDefault="00C3725B" w:rsidP="00C3725B">
      <w:pPr>
        <w:pStyle w:val="LGTdoc"/>
        <w:numPr>
          <w:ilvl w:val="0"/>
          <w:numId w:val="30"/>
        </w:numPr>
        <w:autoSpaceDE w:val="0"/>
        <w:autoSpaceDN w:val="0"/>
        <w:adjustRightInd w:val="0"/>
        <w:spacing w:before="100" w:beforeAutospacing="1" w:afterLines="0" w:after="60"/>
        <w:rPr>
          <w:rFonts w:ascii="Calibri" w:hAnsi="Calibri" w:cs="Calibri"/>
          <w:szCs w:val="22"/>
        </w:rPr>
      </w:pPr>
      <w:r w:rsidRPr="00C3725B">
        <w:rPr>
          <w:rFonts w:ascii="Calibri" w:hAnsi="Calibri" w:cs="Calibri" w:hint="eastAsia"/>
          <w:szCs w:val="22"/>
        </w:rPr>
        <w:t>Which channel to use</w:t>
      </w:r>
    </w:p>
    <w:p w:rsidR="00C3725B" w:rsidRPr="00C3725B" w:rsidRDefault="00C3725B" w:rsidP="00C3725B">
      <w:pPr>
        <w:pStyle w:val="LGTdoc"/>
        <w:numPr>
          <w:ilvl w:val="0"/>
          <w:numId w:val="30"/>
        </w:numPr>
        <w:autoSpaceDE w:val="0"/>
        <w:autoSpaceDN w:val="0"/>
        <w:adjustRightInd w:val="0"/>
        <w:spacing w:before="100" w:beforeAutospacing="1" w:afterLines="0" w:after="60"/>
        <w:rPr>
          <w:rFonts w:ascii="Calibri" w:hAnsi="Calibri" w:cs="Calibri"/>
          <w:szCs w:val="22"/>
        </w:rPr>
      </w:pPr>
      <w:r w:rsidRPr="00C3725B">
        <w:rPr>
          <w:rFonts w:ascii="Calibri" w:hAnsi="Calibri" w:cs="Calibri" w:hint="eastAsia"/>
          <w:szCs w:val="22"/>
        </w:rPr>
        <w:lastRenderedPageBreak/>
        <w:t>Which resource to use</w:t>
      </w:r>
    </w:p>
    <w:p w:rsidR="009752AB" w:rsidRDefault="00C3725B" w:rsidP="004B09E0">
      <w:pPr>
        <w:jc w:val="both"/>
        <w:rPr>
          <w:rFonts w:eastAsia="DengXian"/>
        </w:rPr>
      </w:pPr>
      <w:r>
        <w:rPr>
          <w:rFonts w:eastAsia="DengXian"/>
        </w:rPr>
        <w:t>Under mode 1 where network coverage is available, i</w:t>
      </w:r>
      <w:r w:rsidR="009752AB">
        <w:rPr>
          <w:rFonts w:eastAsia="DengXian"/>
        </w:rPr>
        <w:t xml:space="preserve">t could be beneficial if the UEs provide their </w:t>
      </w:r>
      <w:r w:rsidR="0031329F">
        <w:rPr>
          <w:rFonts w:eastAsia="DengXian"/>
        </w:rPr>
        <w:t xml:space="preserve">HARQ ACK/NAK feedback </w:t>
      </w:r>
      <w:r w:rsidR="009752AB">
        <w:rPr>
          <w:rFonts w:eastAsia="DengXian"/>
        </w:rPr>
        <w:t>to the gNB via Uu</w:t>
      </w:r>
      <w:r w:rsidR="003F24B1">
        <w:rPr>
          <w:rFonts w:eastAsia="DengXian"/>
        </w:rPr>
        <w:t xml:space="preserve"> instead of directly to each other via the sidelink</w:t>
      </w:r>
      <w:r w:rsidR="009752AB">
        <w:rPr>
          <w:rFonts w:eastAsia="DengXian"/>
        </w:rPr>
        <w:t xml:space="preserve">; the gNB then learns directly if it needs to schedule HARQ retransmissions. Moreover, since the UEs in this scenario do not need to exchange HARQ ACK/NAK feedback over the sidelink, they will not suffer the impact of half-duplex constraint that they would incur if they had to perform HARQ ACK/NAK transmission over sidelink. </w:t>
      </w:r>
    </w:p>
    <w:p w:rsidR="0031329F" w:rsidRDefault="009752AB" w:rsidP="004B09E0">
      <w:pPr>
        <w:jc w:val="both"/>
        <w:rPr>
          <w:rFonts w:eastAsia="DengXian"/>
        </w:rPr>
      </w:pPr>
      <w:r>
        <w:rPr>
          <w:rFonts w:eastAsia="DengXian"/>
        </w:rPr>
        <w:t>On the other hand, if one of the UEs is outside network coverage then it cannot convey i</w:t>
      </w:r>
      <w:r w:rsidR="005350B8">
        <w:rPr>
          <w:rFonts w:eastAsia="DengXian"/>
        </w:rPr>
        <w:t>ts feedback over Uu; and if the UEs</w:t>
      </w:r>
      <w:r>
        <w:rPr>
          <w:rFonts w:eastAsia="DengXian"/>
        </w:rPr>
        <w:t xml:space="preserve"> are served by different gNBs then transport of feedback over Uu will become more complex.</w:t>
      </w:r>
    </w:p>
    <w:p w:rsidR="009752AB" w:rsidRDefault="009752AB" w:rsidP="00FC58B1">
      <w:pPr>
        <w:rPr>
          <w:rFonts w:eastAsia="DengXian"/>
        </w:rPr>
      </w:pPr>
      <w:r w:rsidRPr="00283C34">
        <w:rPr>
          <w:b/>
          <w:bCs/>
        </w:rPr>
        <w:t>Proposal</w:t>
      </w:r>
      <w:r w:rsidR="00EE70C4">
        <w:rPr>
          <w:b/>
          <w:bCs/>
        </w:rPr>
        <w:t xml:space="preserve"> </w:t>
      </w:r>
      <w:r w:rsidR="00C3725B">
        <w:rPr>
          <w:b/>
          <w:bCs/>
        </w:rPr>
        <w:t>6</w:t>
      </w:r>
      <w:r w:rsidRPr="00283C34">
        <w:rPr>
          <w:b/>
          <w:bCs/>
        </w:rPr>
        <w:t>:</w:t>
      </w:r>
      <w:r>
        <w:rPr>
          <w:b/>
          <w:bCs/>
        </w:rPr>
        <w:t xml:space="preserve"> Consider </w:t>
      </w:r>
      <w:r w:rsidR="00385B4F">
        <w:rPr>
          <w:b/>
          <w:bCs/>
        </w:rPr>
        <w:t>transport of sidelink control</w:t>
      </w:r>
      <w:r w:rsidR="00D329A6">
        <w:rPr>
          <w:b/>
          <w:bCs/>
        </w:rPr>
        <w:t>/feedback</w:t>
      </w:r>
      <w:r w:rsidR="00385B4F">
        <w:rPr>
          <w:b/>
          <w:bCs/>
        </w:rPr>
        <w:t xml:space="preserve"> information via Uu.</w:t>
      </w:r>
    </w:p>
    <w:p w:rsidR="0031329F" w:rsidRPr="00DA76E0" w:rsidRDefault="0031329F" w:rsidP="00FC58B1"/>
    <w:p w:rsidR="0033217F" w:rsidRPr="0033217F" w:rsidRDefault="0033217F" w:rsidP="0033217F">
      <w:pPr>
        <w:rPr>
          <w:rFonts w:eastAsia="DengXian"/>
          <w:b/>
          <w:u w:val="single"/>
        </w:rPr>
      </w:pPr>
      <w:r w:rsidRPr="0033217F">
        <w:rPr>
          <w:rFonts w:eastAsia="DengXian"/>
          <w:b/>
          <w:u w:val="single"/>
        </w:rPr>
        <w:t>U</w:t>
      </w:r>
      <w:r w:rsidRPr="0033217F">
        <w:rPr>
          <w:rFonts w:eastAsia="DengXian" w:hint="eastAsia"/>
          <w:b/>
          <w:u w:val="single"/>
        </w:rPr>
        <w:t xml:space="preserve">sage </w:t>
      </w:r>
      <w:r w:rsidRPr="0033217F">
        <w:rPr>
          <w:rFonts w:eastAsia="DengXian"/>
          <w:b/>
          <w:u w:val="single"/>
        </w:rPr>
        <w:t>of ID in physical layer</w:t>
      </w:r>
    </w:p>
    <w:p w:rsidR="0033217F" w:rsidRDefault="0033217F" w:rsidP="004B09E0">
      <w:pPr>
        <w:jc w:val="both"/>
        <w:rPr>
          <w:rFonts w:eastAsia="DengXian"/>
        </w:rPr>
      </w:pPr>
      <w:r>
        <w:rPr>
          <w:rFonts w:eastAsia="DengXian"/>
        </w:rPr>
        <w:t>There is</w:t>
      </w:r>
      <w:r w:rsidRPr="003769D4">
        <w:rPr>
          <w:rFonts w:eastAsia="DengXian"/>
        </w:rPr>
        <w:t xml:space="preserve"> some basic difference between the sidelink unicast/groupcast and the counterpart</w:t>
      </w:r>
      <w:r>
        <w:rPr>
          <w:rFonts w:eastAsia="DengXian"/>
        </w:rPr>
        <w:t>s</w:t>
      </w:r>
      <w:r w:rsidRPr="003769D4">
        <w:rPr>
          <w:rFonts w:eastAsia="DengXian"/>
        </w:rPr>
        <w:t xml:space="preserve"> in cellular Uu. The main difference is that in Uu unicast</w:t>
      </w:r>
      <w:r>
        <w:rPr>
          <w:rFonts w:eastAsia="DengXian"/>
        </w:rPr>
        <w:t>/groupcast</w:t>
      </w:r>
      <w:r w:rsidRPr="003769D4">
        <w:rPr>
          <w:rFonts w:eastAsia="DengXian"/>
        </w:rPr>
        <w:t>, the receiver can only decode the associated PDCCH that is targeted to it (</w:t>
      </w:r>
      <w:r>
        <w:rPr>
          <w:rFonts w:eastAsia="DengXian"/>
        </w:rPr>
        <w:t xml:space="preserve">i.e. by </w:t>
      </w:r>
      <w:r w:rsidRPr="003769D4">
        <w:rPr>
          <w:rFonts w:eastAsia="DengXian"/>
        </w:rPr>
        <w:t>match</w:t>
      </w:r>
      <w:r>
        <w:rPr>
          <w:rFonts w:eastAsia="DengXian"/>
        </w:rPr>
        <w:t>ing</w:t>
      </w:r>
      <w:r w:rsidRPr="003769D4">
        <w:rPr>
          <w:rFonts w:eastAsia="DengXian"/>
        </w:rPr>
        <w:t xml:space="preserve"> </w:t>
      </w:r>
      <w:r>
        <w:rPr>
          <w:rFonts w:eastAsia="DengXian"/>
        </w:rPr>
        <w:t xml:space="preserve">the CRC </w:t>
      </w:r>
      <w:r w:rsidRPr="003769D4">
        <w:rPr>
          <w:rFonts w:eastAsia="DengXian"/>
        </w:rPr>
        <w:t>with its own RNTI) and cannot decode other users' control channel. While in sidelink, due to the potential need for channel sensing, receiver</w:t>
      </w:r>
      <w:r>
        <w:rPr>
          <w:rFonts w:eastAsia="DengXian"/>
        </w:rPr>
        <w:t>s</w:t>
      </w:r>
      <w:r w:rsidRPr="003769D4">
        <w:rPr>
          <w:rFonts w:eastAsia="DengXian"/>
        </w:rPr>
        <w:t xml:space="preserve"> shall be capable to decode any PSCCH, irrespective of unicast, groupcast or broadcast</w:t>
      </w:r>
      <w:r>
        <w:rPr>
          <w:rFonts w:eastAsia="DengXian"/>
        </w:rPr>
        <w:t xml:space="preserve"> transmissions. To this end</w:t>
      </w:r>
      <w:r w:rsidRPr="003769D4">
        <w:rPr>
          <w:rFonts w:eastAsia="DengXian"/>
        </w:rPr>
        <w:t xml:space="preserve">, </w:t>
      </w:r>
      <w:r>
        <w:rPr>
          <w:rFonts w:eastAsia="DengXian"/>
        </w:rPr>
        <w:t xml:space="preserve">for </w:t>
      </w:r>
      <w:r w:rsidRPr="003769D4">
        <w:rPr>
          <w:rFonts w:eastAsia="DengXian"/>
        </w:rPr>
        <w:t>PSCCH</w:t>
      </w:r>
      <w:r>
        <w:rPr>
          <w:rFonts w:eastAsia="DengXian"/>
        </w:rPr>
        <w:t xml:space="preserve"> (at least the PSCCH format with resource allocation information if used) of unicast, groupcast or broadcast</w:t>
      </w:r>
      <w:r w:rsidRPr="003769D4">
        <w:rPr>
          <w:rFonts w:eastAsia="DengXian"/>
        </w:rPr>
        <w:t>, its DMRS sh</w:t>
      </w:r>
      <w:r>
        <w:rPr>
          <w:rFonts w:eastAsia="DengXian"/>
        </w:rPr>
        <w:t xml:space="preserve">all be well-known </w:t>
      </w:r>
      <w:r w:rsidRPr="003769D4">
        <w:rPr>
          <w:rFonts w:eastAsia="DengXian"/>
        </w:rPr>
        <w:t xml:space="preserve">e.g. randomly selected from predefined </w:t>
      </w:r>
      <w:r>
        <w:rPr>
          <w:rFonts w:eastAsia="DengXian"/>
        </w:rPr>
        <w:t>sequence set as done in LTE V2X</w:t>
      </w:r>
      <w:r w:rsidRPr="003769D4">
        <w:rPr>
          <w:rFonts w:eastAsia="DengXian"/>
        </w:rPr>
        <w:t xml:space="preserve"> and the destination ID (or part of it) could be included in the SCI message (as done in R12/13 D2D)</w:t>
      </w:r>
      <w:r>
        <w:rPr>
          <w:rFonts w:eastAsia="DengXian"/>
        </w:rPr>
        <w:t>. T</w:t>
      </w:r>
      <w:r w:rsidRPr="003769D4">
        <w:rPr>
          <w:rFonts w:eastAsia="DengXian"/>
        </w:rPr>
        <w:t xml:space="preserve">he DMRS of PSSCH </w:t>
      </w:r>
      <w:r>
        <w:rPr>
          <w:rFonts w:eastAsia="DengXian"/>
        </w:rPr>
        <w:t>could</w:t>
      </w:r>
      <w:r w:rsidRPr="003769D4">
        <w:rPr>
          <w:rFonts w:eastAsia="DengXian"/>
        </w:rPr>
        <w:t xml:space="preserve"> be determined by </w:t>
      </w:r>
      <w:r>
        <w:rPr>
          <w:rFonts w:eastAsia="DengXian"/>
        </w:rPr>
        <w:t xml:space="preserve">some </w:t>
      </w:r>
      <w:r w:rsidRPr="003769D4">
        <w:rPr>
          <w:rFonts w:eastAsia="DengXian"/>
        </w:rPr>
        <w:t>function of destination ID.</w:t>
      </w:r>
    </w:p>
    <w:p w:rsidR="0033217F" w:rsidRPr="00804CD1" w:rsidRDefault="0033217F" w:rsidP="004B09E0">
      <w:pPr>
        <w:jc w:val="both"/>
        <w:rPr>
          <w:rFonts w:eastAsia="DengXian"/>
        </w:rPr>
      </w:pPr>
      <w:r>
        <w:rPr>
          <w:rFonts w:eastAsia="DengXian"/>
        </w:rPr>
        <w:t xml:space="preserve">The partial inclusion of destination ID in the PSCCH may lead to ID collision issue at physical layer, though the probability of this ID collision may be quite small. The ID collision at physical layer seems not a very serious issue, since the probability that </w:t>
      </w:r>
      <w:r w:rsidR="004B09E0">
        <w:rPr>
          <w:rFonts w:eastAsia="DengXian"/>
        </w:rPr>
        <w:t>two-proximate</w:t>
      </w:r>
      <w:r>
        <w:rPr>
          <w:rFonts w:eastAsia="DengXian"/>
        </w:rPr>
        <w:t xml:space="preserve"> vehicle UEs casually have same physical layer ID and at the same time they select the same or overlapped resources (which may lead to serious collision interference) shall be sufficiently small. Additionally, i</w:t>
      </w:r>
      <w:r w:rsidRPr="00804CD1">
        <w:rPr>
          <w:rFonts w:eastAsia="DengXian"/>
        </w:rPr>
        <w:t>f there are collisions with the physical layer ID, MAC layer could treat this issue with knowledge of complete destination ID</w:t>
      </w:r>
      <w:r>
        <w:rPr>
          <w:rFonts w:eastAsia="DengXian"/>
        </w:rPr>
        <w:t xml:space="preserve"> by dropping the received packets that does not target to it (i.e. same PHY ID but different whole destination ID)</w:t>
      </w:r>
      <w:r w:rsidRPr="00804CD1">
        <w:rPr>
          <w:rFonts w:eastAsia="DengXian"/>
        </w:rPr>
        <w:t>.</w:t>
      </w:r>
    </w:p>
    <w:p w:rsidR="0037523A" w:rsidRDefault="0033217F" w:rsidP="004B09E0">
      <w:pPr>
        <w:jc w:val="both"/>
      </w:pPr>
      <w:r>
        <w:br/>
      </w:r>
      <w:r w:rsidRPr="00283C34">
        <w:rPr>
          <w:b/>
          <w:bCs/>
        </w:rPr>
        <w:t>Proposal</w:t>
      </w:r>
      <w:r w:rsidR="00EE70C4">
        <w:rPr>
          <w:b/>
          <w:bCs/>
        </w:rPr>
        <w:t xml:space="preserve"> </w:t>
      </w:r>
      <w:r w:rsidR="00C3725B">
        <w:rPr>
          <w:b/>
          <w:bCs/>
        </w:rPr>
        <w:t>7</w:t>
      </w:r>
      <w:r w:rsidRPr="00283C34">
        <w:rPr>
          <w:b/>
          <w:bCs/>
        </w:rPr>
        <w:t xml:space="preserve">: </w:t>
      </w:r>
      <w:r>
        <w:rPr>
          <w:b/>
          <w:bCs/>
        </w:rPr>
        <w:t>The PSCCH of unicast/groupcast/broadcast shall be decodable for potential usage in sensing procedure. Destination ID could be partially included in sidelink control message to enable packet filtering at physical layer.</w:t>
      </w:r>
    </w:p>
    <w:p w:rsidR="009B7304" w:rsidRDefault="009B7304" w:rsidP="009B7304">
      <w:pPr>
        <w:rPr>
          <w:b/>
          <w:u w:val="single"/>
        </w:rPr>
      </w:pPr>
    </w:p>
    <w:p w:rsidR="009B7304" w:rsidRPr="009B7304" w:rsidRDefault="009B7304" w:rsidP="009B7304">
      <w:pPr>
        <w:rPr>
          <w:b/>
          <w:u w:val="single"/>
        </w:rPr>
      </w:pPr>
      <w:r w:rsidRPr="009B7304">
        <w:rPr>
          <w:b/>
          <w:u w:val="single"/>
        </w:rPr>
        <w:t>Multi-antenna transmission scheme</w:t>
      </w:r>
    </w:p>
    <w:p w:rsidR="009B7304" w:rsidRDefault="009B7304" w:rsidP="009B7304">
      <w:pPr>
        <w:jc w:val="both"/>
      </w:pPr>
      <w:r>
        <w:t>Some CSI feedback information to support MIMO operations was discussed in the last meeting. It is still open whether V2X sidelink supports open-loop and/or closed-loop MIMO, given that MIMO is very well defined in Rel-15 NR.</w:t>
      </w:r>
    </w:p>
    <w:p w:rsidR="009B7304" w:rsidRDefault="009B7304" w:rsidP="009B7304">
      <w:pPr>
        <w:jc w:val="both"/>
      </w:pPr>
      <w:r>
        <w:t xml:space="preserve">Open-loop MIMO schemes such as diversity-based schemes, such as STBC/SFBC, precoding cycling, delay diversity, could be applied at least for PSCCH channel to boost transmission reliability and coverage. </w:t>
      </w:r>
    </w:p>
    <w:p w:rsidR="009B7304" w:rsidRPr="009B7304" w:rsidRDefault="009B7304" w:rsidP="009B7304">
      <w:pPr>
        <w:jc w:val="both"/>
        <w:rPr>
          <w:b/>
        </w:rPr>
      </w:pPr>
      <w:r w:rsidRPr="009B7304">
        <w:rPr>
          <w:b/>
        </w:rPr>
        <w:t>Proposal</w:t>
      </w:r>
      <w:r w:rsidR="00C3725B">
        <w:rPr>
          <w:b/>
        </w:rPr>
        <w:t xml:space="preserve"> 8</w:t>
      </w:r>
      <w:r w:rsidRPr="009B7304">
        <w:rPr>
          <w:b/>
        </w:rPr>
        <w:t>: Study open-loop MIMO schemes at least for PSCCH.</w:t>
      </w:r>
    </w:p>
    <w:p w:rsidR="00ED1977" w:rsidRDefault="009B7304" w:rsidP="00A37ACC">
      <w:pPr>
        <w:jc w:val="both"/>
      </w:pPr>
      <w:r>
        <w:lastRenderedPageBreak/>
        <w:t xml:space="preserve">Closed-loop MIMO schemes, such as codebook based precoding schemes, </w:t>
      </w:r>
      <w:r w:rsidR="00A37ACC">
        <w:t>can provide significant precoding gain for sidelink transmission. These schemes can also mitigate undesirable interference to other UEs that not in their dominant spatial transmission direction. Since closed-loop MIMO needs feedback, it would be very complicated to support groupcast transmission but we can focus on unicast.</w:t>
      </w:r>
    </w:p>
    <w:p w:rsidR="00A37ACC" w:rsidRPr="00A37ACC" w:rsidRDefault="00A37ACC" w:rsidP="00A37ACC">
      <w:pPr>
        <w:jc w:val="both"/>
        <w:rPr>
          <w:b/>
        </w:rPr>
      </w:pPr>
      <w:r w:rsidRPr="00A37ACC">
        <w:rPr>
          <w:b/>
        </w:rPr>
        <w:t xml:space="preserve">Proposal </w:t>
      </w:r>
      <w:r w:rsidR="00C3725B">
        <w:rPr>
          <w:b/>
        </w:rPr>
        <w:t>9</w:t>
      </w:r>
      <w:r w:rsidRPr="00A37ACC">
        <w:rPr>
          <w:b/>
        </w:rPr>
        <w:t>: Study to support closed-loop MIMO transmission for unicast PSSCH.</w:t>
      </w:r>
    </w:p>
    <w:p w:rsidR="007A3EA4" w:rsidRPr="00FC58B1" w:rsidRDefault="007A3EA4" w:rsidP="00FC58B1"/>
    <w:p w:rsidR="000D2D9E" w:rsidRPr="00A272F4" w:rsidRDefault="000D2D9E" w:rsidP="000D2D9E">
      <w:pPr>
        <w:pStyle w:val="Heading1"/>
        <w:spacing w:after="120"/>
        <w:jc w:val="both"/>
        <w:rPr>
          <w:lang w:val="en-US"/>
        </w:rPr>
      </w:pPr>
      <w:r w:rsidRPr="00A272F4">
        <w:rPr>
          <w:lang w:val="en-US"/>
        </w:rPr>
        <w:t>Conclusions</w:t>
      </w:r>
    </w:p>
    <w:p w:rsidR="00147DC9" w:rsidRDefault="000D2D9E" w:rsidP="00ED066E">
      <w:pPr>
        <w:jc w:val="both"/>
      </w:pPr>
      <w:r w:rsidRPr="00A272F4">
        <w:t>In this contribution</w:t>
      </w:r>
      <w:r w:rsidR="00EE70C4">
        <w:t xml:space="preserve"> we</w:t>
      </w:r>
      <w:r w:rsidR="008E0F69">
        <w:t xml:space="preserve"> discussed </w:t>
      </w:r>
      <w:r w:rsidR="00A37ACC">
        <w:t>various physical layer procedures to support sidelink. These are our proposals:</w:t>
      </w:r>
    </w:p>
    <w:p w:rsidR="00A37ACC" w:rsidRPr="00F65C9E" w:rsidRDefault="00A37ACC" w:rsidP="00A37ACC">
      <w:pPr>
        <w:jc w:val="both"/>
        <w:rPr>
          <w:b/>
        </w:rPr>
      </w:pPr>
      <w:r w:rsidRPr="00F65C9E">
        <w:rPr>
          <w:b/>
        </w:rPr>
        <w:t>Proposal 1: Design one general HARQ feedback procedure to support both sidelink unicast and groupcast.</w:t>
      </w:r>
    </w:p>
    <w:p w:rsidR="00D329A6" w:rsidRDefault="00A37ACC" w:rsidP="00D329A6">
      <w:pPr>
        <w:rPr>
          <w:b/>
          <w:bCs/>
        </w:rPr>
      </w:pPr>
      <w:r w:rsidRPr="00AC5572">
        <w:rPr>
          <w:b/>
        </w:rPr>
        <w:t>Proposal 2: Using HARQ resource usage rate performance at various SNR to evaluate HARQ feedback performance for groupcast.</w:t>
      </w:r>
    </w:p>
    <w:p w:rsidR="00A37ACC" w:rsidRDefault="007A7594" w:rsidP="00A37ACC">
      <w:pPr>
        <w:rPr>
          <w:b/>
        </w:rPr>
      </w:pPr>
      <w:r w:rsidRPr="004B09E0">
        <w:rPr>
          <w:b/>
        </w:rPr>
        <w:t xml:space="preserve">Proposal 3: Support </w:t>
      </w:r>
      <w:r>
        <w:rPr>
          <w:b/>
        </w:rPr>
        <w:t>synchronized</w:t>
      </w:r>
      <w:r w:rsidRPr="004B09E0">
        <w:rPr>
          <w:b/>
        </w:rPr>
        <w:t xml:space="preserve"> </w:t>
      </w:r>
      <w:r>
        <w:rPr>
          <w:b/>
        </w:rPr>
        <w:t>PSFCH with a fixed timing.</w:t>
      </w:r>
    </w:p>
    <w:p w:rsidR="007A7594" w:rsidRPr="00ED4713" w:rsidRDefault="007A7594" w:rsidP="007A7594">
      <w:pPr>
        <w:rPr>
          <w:b/>
        </w:rPr>
      </w:pPr>
      <w:r w:rsidRPr="00ED4713">
        <w:rPr>
          <w:b/>
        </w:rPr>
        <w:t xml:space="preserve">Proposal 4: Support Option 2 for SL groupcast HARQ: </w:t>
      </w:r>
      <w:r w:rsidRPr="00ED4713">
        <w:rPr>
          <w:rFonts w:ascii="Calibri" w:hAnsi="Calibri" w:cs="Calibri" w:hint="eastAsia"/>
          <w:b/>
        </w:rPr>
        <w:t>R</w:t>
      </w:r>
      <w:r w:rsidRPr="00ED4713">
        <w:rPr>
          <w:rFonts w:ascii="Calibri" w:hAnsi="Calibri" w:cs="Calibri"/>
          <w:b/>
        </w:rPr>
        <w:t xml:space="preserve">eceiver UE </w:t>
      </w:r>
      <w:r w:rsidRPr="00ED4713">
        <w:rPr>
          <w:rFonts w:ascii="Calibri" w:hAnsi="Calibri" w:cs="Calibri" w:hint="eastAsia"/>
          <w:b/>
        </w:rPr>
        <w:t>transmit</w:t>
      </w:r>
      <w:r w:rsidRPr="00ED4713">
        <w:rPr>
          <w:rFonts w:ascii="Calibri" w:hAnsi="Calibri" w:cs="Calibri"/>
          <w:b/>
        </w:rPr>
        <w:t xml:space="preserve">s HARQ-ACK on PSFCH </w:t>
      </w:r>
      <w:r w:rsidRPr="00ED4713">
        <w:rPr>
          <w:rFonts w:ascii="Calibri" w:hAnsi="Calibri" w:cs="Calibri" w:hint="eastAsia"/>
          <w:b/>
        </w:rPr>
        <w:t xml:space="preserve">if it </w:t>
      </w:r>
      <w:r w:rsidRPr="00ED4713">
        <w:rPr>
          <w:rFonts w:ascii="Calibri" w:hAnsi="Calibri" w:cs="Calibri"/>
          <w:b/>
        </w:rPr>
        <w:t>successfully</w:t>
      </w:r>
      <w:r w:rsidRPr="00ED4713">
        <w:rPr>
          <w:rFonts w:ascii="Calibri" w:hAnsi="Calibri" w:cs="Calibri" w:hint="eastAsia"/>
          <w:b/>
        </w:rPr>
        <w:t xml:space="preserve"> decodes the corresponding TB. It transmits </w:t>
      </w:r>
      <w:r w:rsidRPr="00ED4713">
        <w:rPr>
          <w:rFonts w:ascii="Calibri" w:hAnsi="Calibri" w:cs="Calibri"/>
          <w:b/>
        </w:rPr>
        <w:t>HARQ-NACK</w:t>
      </w:r>
      <w:r w:rsidRPr="00ED4713">
        <w:rPr>
          <w:rFonts w:ascii="Calibri" w:hAnsi="Calibri" w:cs="Calibri" w:hint="eastAsia"/>
          <w:b/>
        </w:rPr>
        <w:t xml:space="preserve"> </w:t>
      </w:r>
      <w:r w:rsidRPr="00ED4713">
        <w:rPr>
          <w:rFonts w:ascii="Calibri" w:hAnsi="Calibri" w:cs="Calibri"/>
          <w:b/>
        </w:rPr>
        <w:t xml:space="preserve">on PSFCH if it </w:t>
      </w:r>
      <w:r w:rsidRPr="00ED4713">
        <w:rPr>
          <w:rFonts w:ascii="Calibri" w:hAnsi="Calibri" w:cs="Calibri" w:hint="eastAsia"/>
          <w:b/>
        </w:rPr>
        <w:t>does not successfully</w:t>
      </w:r>
      <w:r w:rsidRPr="00ED4713">
        <w:rPr>
          <w:rFonts w:ascii="Calibri" w:hAnsi="Calibri" w:cs="Calibri"/>
          <w:b/>
        </w:rPr>
        <w:t xml:space="preserve"> decode the corresponding </w:t>
      </w:r>
      <w:r w:rsidRPr="00ED4713">
        <w:rPr>
          <w:rFonts w:ascii="Calibri" w:hAnsi="Calibri" w:cs="Calibri" w:hint="eastAsia"/>
          <w:b/>
        </w:rPr>
        <w:t>TB after decoding the associated PSCCH which targets the receiver UE.</w:t>
      </w:r>
    </w:p>
    <w:p w:rsidR="00D329A6" w:rsidRPr="000C5833" w:rsidRDefault="00D329A6" w:rsidP="00D329A6">
      <w:pPr>
        <w:rPr>
          <w:rFonts w:eastAsia="DengXian"/>
          <w:b/>
          <w:bCs/>
        </w:rPr>
      </w:pPr>
      <w:r w:rsidRPr="00283C34">
        <w:rPr>
          <w:b/>
          <w:bCs/>
        </w:rPr>
        <w:t>Proposal</w:t>
      </w:r>
      <w:r>
        <w:rPr>
          <w:b/>
          <w:bCs/>
        </w:rPr>
        <w:t xml:space="preserve"> </w:t>
      </w:r>
      <w:r w:rsidR="007A7594">
        <w:rPr>
          <w:b/>
          <w:bCs/>
        </w:rPr>
        <w:t>5</w:t>
      </w:r>
      <w:r w:rsidRPr="00283C34">
        <w:rPr>
          <w:b/>
          <w:bCs/>
        </w:rPr>
        <w:t xml:space="preserve">: </w:t>
      </w:r>
      <w:r>
        <w:rPr>
          <w:b/>
          <w:bCs/>
        </w:rPr>
        <w:t xml:space="preserve">For groupcast, consider that a transmitter advises the limited number of receivers with </w:t>
      </w:r>
      <w:r w:rsidRPr="000C5833">
        <w:rPr>
          <w:b/>
          <w:bCs/>
        </w:rPr>
        <w:t>worst channel qualities to</w:t>
      </w:r>
      <w:r>
        <w:rPr>
          <w:b/>
          <w:bCs/>
        </w:rPr>
        <w:t xml:space="preserve"> feedback CQIs for power control and link adaptation.  </w:t>
      </w:r>
    </w:p>
    <w:p w:rsidR="00D329A6" w:rsidRDefault="00D329A6" w:rsidP="00D329A6">
      <w:pPr>
        <w:rPr>
          <w:rFonts w:eastAsia="DengXian"/>
        </w:rPr>
      </w:pPr>
      <w:r w:rsidRPr="00283C34">
        <w:rPr>
          <w:b/>
          <w:bCs/>
        </w:rPr>
        <w:t>Proposal</w:t>
      </w:r>
      <w:r w:rsidR="007A7594">
        <w:rPr>
          <w:b/>
          <w:bCs/>
        </w:rPr>
        <w:t xml:space="preserve"> 6</w:t>
      </w:r>
      <w:r w:rsidRPr="00283C34">
        <w:rPr>
          <w:b/>
          <w:bCs/>
        </w:rPr>
        <w:t>:</w:t>
      </w:r>
      <w:r>
        <w:rPr>
          <w:b/>
          <w:bCs/>
        </w:rPr>
        <w:t xml:space="preserve"> Consider transport of sidelink control/feedback information via Uu.</w:t>
      </w:r>
    </w:p>
    <w:p w:rsidR="00D329A6" w:rsidRDefault="00D329A6" w:rsidP="00D329A6">
      <w:r w:rsidRPr="00283C34">
        <w:rPr>
          <w:b/>
          <w:bCs/>
        </w:rPr>
        <w:t>Proposal</w:t>
      </w:r>
      <w:r>
        <w:rPr>
          <w:b/>
          <w:bCs/>
        </w:rPr>
        <w:t xml:space="preserve"> </w:t>
      </w:r>
      <w:r w:rsidR="007A7594">
        <w:rPr>
          <w:b/>
          <w:bCs/>
        </w:rPr>
        <w:t>7</w:t>
      </w:r>
      <w:r w:rsidRPr="00283C34">
        <w:rPr>
          <w:b/>
          <w:bCs/>
        </w:rPr>
        <w:t xml:space="preserve">: </w:t>
      </w:r>
      <w:r>
        <w:rPr>
          <w:b/>
          <w:bCs/>
        </w:rPr>
        <w:t>The PSCCH of unicast/groupcast/broadcast shall be decodable for potential usage in sensing procedure. Destination ID could be partially included in sidelink control message to enable packet filtering at physical layer.</w:t>
      </w:r>
    </w:p>
    <w:p w:rsidR="00A37ACC" w:rsidRPr="009B7304" w:rsidRDefault="00A37ACC" w:rsidP="00A37ACC">
      <w:pPr>
        <w:jc w:val="both"/>
        <w:rPr>
          <w:b/>
        </w:rPr>
      </w:pPr>
      <w:r w:rsidRPr="009B7304">
        <w:rPr>
          <w:b/>
        </w:rPr>
        <w:t xml:space="preserve">Proposal </w:t>
      </w:r>
      <w:r w:rsidR="007A7594">
        <w:rPr>
          <w:b/>
        </w:rPr>
        <w:t>8</w:t>
      </w:r>
      <w:r w:rsidRPr="009B7304">
        <w:rPr>
          <w:b/>
        </w:rPr>
        <w:t>: Study open-loop MIMO schemes at least for PSCCH.</w:t>
      </w:r>
    </w:p>
    <w:p w:rsidR="00A37ACC" w:rsidRPr="00A37ACC" w:rsidRDefault="00A37ACC" w:rsidP="00A37ACC">
      <w:pPr>
        <w:jc w:val="both"/>
        <w:rPr>
          <w:b/>
        </w:rPr>
      </w:pPr>
      <w:r w:rsidRPr="00A37ACC">
        <w:rPr>
          <w:b/>
        </w:rPr>
        <w:t xml:space="preserve">Proposal </w:t>
      </w:r>
      <w:r w:rsidR="007A7594">
        <w:rPr>
          <w:b/>
        </w:rPr>
        <w:t>9</w:t>
      </w:r>
      <w:r w:rsidRPr="00A37ACC">
        <w:rPr>
          <w:b/>
        </w:rPr>
        <w:t>: Study to support closed-loop MIMO transmission for unicast PSSCH.</w:t>
      </w:r>
    </w:p>
    <w:p w:rsidR="000D2D9E" w:rsidRPr="000D2D9E" w:rsidRDefault="000D2D9E" w:rsidP="005E2BEC"/>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5E2BEC" w:rsidRDefault="00D7316B" w:rsidP="00D7316B">
      <w:pPr>
        <w:widowControl w:val="0"/>
        <w:numPr>
          <w:ilvl w:val="0"/>
          <w:numId w:val="2"/>
        </w:numPr>
        <w:tabs>
          <w:tab w:val="num" w:pos="708"/>
        </w:tabs>
        <w:spacing w:after="120"/>
        <w:jc w:val="both"/>
      </w:pPr>
      <w:bookmarkStart w:id="2" w:name="_Ref513823147"/>
      <w:bookmarkStart w:id="3" w:name="_Ref525570403"/>
      <w:r w:rsidRPr="00D7316B">
        <w:t>RP-182111</w:t>
      </w:r>
      <w:r w:rsidR="00A65F11">
        <w:t>, “</w:t>
      </w:r>
      <w:bookmarkEnd w:id="2"/>
      <w:r>
        <w:t>Revised</w:t>
      </w:r>
      <w:r w:rsidR="00A65F11" w:rsidRPr="00A65F11">
        <w:t xml:space="preserve"> SID: Study on NR V2X</w:t>
      </w:r>
      <w:r w:rsidR="00A65F11">
        <w:t>”</w:t>
      </w:r>
      <w:bookmarkEnd w:id="3"/>
    </w:p>
    <w:p w:rsidR="00C3725B" w:rsidRDefault="00C3725B" w:rsidP="00BF6869">
      <w:pPr>
        <w:widowControl w:val="0"/>
        <w:numPr>
          <w:ilvl w:val="0"/>
          <w:numId w:val="2"/>
        </w:numPr>
        <w:tabs>
          <w:tab w:val="num" w:pos="708"/>
        </w:tabs>
        <w:spacing w:after="120"/>
        <w:jc w:val="both"/>
      </w:pPr>
      <w:r>
        <w:t>RAN1 #95 chairman notes, November 2018</w:t>
      </w:r>
    </w:p>
    <w:p w:rsidR="00E2641C" w:rsidRPr="00313E18" w:rsidRDefault="00E2641C" w:rsidP="00E2641C">
      <w:pPr>
        <w:widowControl w:val="0"/>
        <w:tabs>
          <w:tab w:val="num" w:pos="708"/>
        </w:tabs>
        <w:spacing w:after="120"/>
        <w:jc w:val="both"/>
      </w:pPr>
    </w:p>
    <w:sectPr w:rsidR="00E2641C" w:rsidRPr="00313E18"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0EAF" w:rsidRDefault="00E10EAF">
      <w:r>
        <w:separator/>
      </w:r>
    </w:p>
  </w:endnote>
  <w:endnote w:type="continuationSeparator" w:id="0">
    <w:p w:rsidR="00E10EAF" w:rsidRDefault="00E10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0EAF" w:rsidRDefault="00E10EAF">
      <w:r>
        <w:separator/>
      </w:r>
    </w:p>
  </w:footnote>
  <w:footnote w:type="continuationSeparator" w:id="0">
    <w:p w:rsidR="00E10EAF" w:rsidRDefault="00E10E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BD14583_"/>
      </v:shape>
    </w:pict>
  </w:numPicBullet>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1C7645"/>
    <w:multiLevelType w:val="hybridMultilevel"/>
    <w:tmpl w:val="A37AEB06"/>
    <w:lvl w:ilvl="0" w:tplc="6AAA7DEE">
      <w:start w:val="1"/>
      <w:numFmt w:val="bullet"/>
      <w:lvlText w:val=""/>
      <w:lvlJc w:val="left"/>
      <w:pPr>
        <w:ind w:left="720" w:hanging="360"/>
      </w:pPr>
      <w:rPr>
        <w:rFonts w:ascii="Symbol" w:eastAsiaTheme="minorEastAsia"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A47934"/>
    <w:multiLevelType w:val="hybridMultilevel"/>
    <w:tmpl w:val="A91E6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4F7A7E"/>
    <w:multiLevelType w:val="hybridMultilevel"/>
    <w:tmpl w:val="07721E58"/>
    <w:lvl w:ilvl="0" w:tplc="6AAA7DEE">
      <w:start w:val="1"/>
      <w:numFmt w:val="bullet"/>
      <w:lvlText w:val=""/>
      <w:lvlJc w:val="left"/>
      <w:pPr>
        <w:ind w:left="1080" w:hanging="360"/>
      </w:pPr>
      <w:rPr>
        <w:rFonts w:ascii="Symbol" w:eastAsiaTheme="minorEastAsia" w:hAnsi="Symbol"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72F200B0"/>
    <w:multiLevelType w:val="hybridMultilevel"/>
    <w:tmpl w:val="1E306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17"/>
  </w:num>
  <w:num w:numId="6">
    <w:abstractNumId w:val="2"/>
  </w:num>
  <w:num w:numId="7">
    <w:abstractNumId w:val="22"/>
  </w:num>
  <w:num w:numId="8">
    <w:abstractNumId w:val="8"/>
  </w:num>
  <w:num w:numId="9">
    <w:abstractNumId w:val="11"/>
  </w:num>
  <w:num w:numId="10">
    <w:abstractNumId w:val="16"/>
  </w:num>
  <w:num w:numId="11">
    <w:abstractNumId w:val="28"/>
  </w:num>
  <w:num w:numId="12">
    <w:abstractNumId w:val="30"/>
  </w:num>
  <w:num w:numId="13">
    <w:abstractNumId w:val="19"/>
  </w:num>
  <w:num w:numId="14">
    <w:abstractNumId w:val="24"/>
  </w:num>
  <w:num w:numId="15">
    <w:abstractNumId w:val="20"/>
  </w:num>
  <w:num w:numId="16">
    <w:abstractNumId w:val="5"/>
  </w:num>
  <w:num w:numId="17">
    <w:abstractNumId w:val="27"/>
  </w:num>
  <w:num w:numId="18">
    <w:abstractNumId w:val="12"/>
  </w:num>
  <w:num w:numId="19">
    <w:abstractNumId w:val="29"/>
  </w:num>
  <w:num w:numId="20">
    <w:abstractNumId w:val="10"/>
  </w:num>
  <w:num w:numId="21">
    <w:abstractNumId w:val="4"/>
  </w:num>
  <w:num w:numId="22">
    <w:abstractNumId w:val="7"/>
  </w:num>
  <w:num w:numId="23">
    <w:abstractNumId w:val="26"/>
  </w:num>
  <w:num w:numId="24">
    <w:abstractNumId w:val="18"/>
  </w:num>
  <w:num w:numId="25">
    <w:abstractNumId w:val="25"/>
  </w:num>
  <w:num w:numId="26">
    <w:abstractNumId w:val="1"/>
  </w:num>
  <w:num w:numId="27">
    <w:abstractNumId w:val="21"/>
  </w:num>
  <w:num w:numId="28">
    <w:abstractNumId w:val="14"/>
  </w:num>
  <w:num w:numId="29">
    <w:abstractNumId w:val="9"/>
  </w:num>
  <w:num w:numId="30">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459"/>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5EE7"/>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33"/>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737"/>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80E"/>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6B7"/>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03"/>
    <w:rsid w:val="00177DFF"/>
    <w:rsid w:val="00177EBD"/>
    <w:rsid w:val="001800DB"/>
    <w:rsid w:val="00180149"/>
    <w:rsid w:val="0018016C"/>
    <w:rsid w:val="00180E60"/>
    <w:rsid w:val="001817BA"/>
    <w:rsid w:val="00181877"/>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C2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554"/>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85B"/>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E59"/>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D"/>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704"/>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8E4"/>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29F"/>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7F"/>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82"/>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4F"/>
    <w:rsid w:val="00385BD7"/>
    <w:rsid w:val="003862D5"/>
    <w:rsid w:val="00386683"/>
    <w:rsid w:val="00386A15"/>
    <w:rsid w:val="00386B71"/>
    <w:rsid w:val="0038702D"/>
    <w:rsid w:val="00387096"/>
    <w:rsid w:val="003870BC"/>
    <w:rsid w:val="00387178"/>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529"/>
    <w:rsid w:val="003C2C9D"/>
    <w:rsid w:val="003C2CF1"/>
    <w:rsid w:val="003C3898"/>
    <w:rsid w:val="003C3B73"/>
    <w:rsid w:val="003C3EF9"/>
    <w:rsid w:val="003C412E"/>
    <w:rsid w:val="003C4238"/>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4B1"/>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2D83"/>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4E1"/>
    <w:rsid w:val="004A28D4"/>
    <w:rsid w:val="004A2908"/>
    <w:rsid w:val="004A2B3D"/>
    <w:rsid w:val="004A2BE1"/>
    <w:rsid w:val="004A2E44"/>
    <w:rsid w:val="004A30F7"/>
    <w:rsid w:val="004A3471"/>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09E0"/>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8"/>
    <w:rsid w:val="005350B9"/>
    <w:rsid w:val="0053530D"/>
    <w:rsid w:val="0053574F"/>
    <w:rsid w:val="0053583D"/>
    <w:rsid w:val="005359EC"/>
    <w:rsid w:val="00535A27"/>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CA2"/>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0C7"/>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7BC"/>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4A70"/>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32B8"/>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A66"/>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15"/>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2B"/>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94"/>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21"/>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BAC"/>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D56"/>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CA"/>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0F69"/>
    <w:rsid w:val="008E1217"/>
    <w:rsid w:val="008E16F9"/>
    <w:rsid w:val="008E18A3"/>
    <w:rsid w:val="008E1FDF"/>
    <w:rsid w:val="008E2051"/>
    <w:rsid w:val="008E20EC"/>
    <w:rsid w:val="008E2562"/>
    <w:rsid w:val="008E290D"/>
    <w:rsid w:val="008E2911"/>
    <w:rsid w:val="008E2B47"/>
    <w:rsid w:val="008E2C59"/>
    <w:rsid w:val="008E2EFE"/>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6FE5"/>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2AB"/>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06"/>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304"/>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0D8E"/>
    <w:rsid w:val="009E11A9"/>
    <w:rsid w:val="009E176B"/>
    <w:rsid w:val="009E1E13"/>
    <w:rsid w:val="009E1F70"/>
    <w:rsid w:val="009E1FFC"/>
    <w:rsid w:val="009E2A61"/>
    <w:rsid w:val="009E2F97"/>
    <w:rsid w:val="009E3235"/>
    <w:rsid w:val="009E3790"/>
    <w:rsid w:val="009E3864"/>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37ACC"/>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537"/>
    <w:rsid w:val="00A52C29"/>
    <w:rsid w:val="00A52D1E"/>
    <w:rsid w:val="00A52EF2"/>
    <w:rsid w:val="00A53785"/>
    <w:rsid w:val="00A539C9"/>
    <w:rsid w:val="00A53A6D"/>
    <w:rsid w:val="00A53EA7"/>
    <w:rsid w:val="00A54398"/>
    <w:rsid w:val="00A5444A"/>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3D"/>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1"/>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404"/>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19C"/>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572"/>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6C9"/>
    <w:rsid w:val="00B15A0F"/>
    <w:rsid w:val="00B167A6"/>
    <w:rsid w:val="00B16961"/>
    <w:rsid w:val="00B16B5F"/>
    <w:rsid w:val="00B1736C"/>
    <w:rsid w:val="00B17377"/>
    <w:rsid w:val="00B17493"/>
    <w:rsid w:val="00B17744"/>
    <w:rsid w:val="00B17F54"/>
    <w:rsid w:val="00B20057"/>
    <w:rsid w:val="00B2043A"/>
    <w:rsid w:val="00B20A3F"/>
    <w:rsid w:val="00B20AFD"/>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00"/>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CC2"/>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36E"/>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68D"/>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25B"/>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9"/>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3AEB"/>
    <w:rsid w:val="00C84317"/>
    <w:rsid w:val="00C8446B"/>
    <w:rsid w:val="00C845CE"/>
    <w:rsid w:val="00C84F97"/>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8D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5093"/>
    <w:rsid w:val="00D159A9"/>
    <w:rsid w:val="00D15A17"/>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365"/>
    <w:rsid w:val="00D329A6"/>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434"/>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4BB"/>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6E0"/>
    <w:rsid w:val="00DA7A85"/>
    <w:rsid w:val="00DA7BC7"/>
    <w:rsid w:val="00DA7E4C"/>
    <w:rsid w:val="00DB0487"/>
    <w:rsid w:val="00DB0564"/>
    <w:rsid w:val="00DB0814"/>
    <w:rsid w:val="00DB1539"/>
    <w:rsid w:val="00DB19A4"/>
    <w:rsid w:val="00DB1D82"/>
    <w:rsid w:val="00DB1E74"/>
    <w:rsid w:val="00DB1F98"/>
    <w:rsid w:val="00DB1FBA"/>
    <w:rsid w:val="00DB2551"/>
    <w:rsid w:val="00DB2CC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DF7F76"/>
    <w:rsid w:val="00E004D1"/>
    <w:rsid w:val="00E00A07"/>
    <w:rsid w:val="00E00C11"/>
    <w:rsid w:val="00E00EFF"/>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D69"/>
    <w:rsid w:val="00E07E45"/>
    <w:rsid w:val="00E07FD4"/>
    <w:rsid w:val="00E1007C"/>
    <w:rsid w:val="00E101BD"/>
    <w:rsid w:val="00E102BD"/>
    <w:rsid w:val="00E102E3"/>
    <w:rsid w:val="00E1039D"/>
    <w:rsid w:val="00E103F8"/>
    <w:rsid w:val="00E104D2"/>
    <w:rsid w:val="00E104DE"/>
    <w:rsid w:val="00E1074E"/>
    <w:rsid w:val="00E10EAF"/>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41C"/>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2D0"/>
    <w:rsid w:val="00E45663"/>
    <w:rsid w:val="00E45A9D"/>
    <w:rsid w:val="00E45FB3"/>
    <w:rsid w:val="00E460A1"/>
    <w:rsid w:val="00E46168"/>
    <w:rsid w:val="00E46193"/>
    <w:rsid w:val="00E463CB"/>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58A"/>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713"/>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D13"/>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BF1"/>
    <w:rsid w:val="00EE6CB1"/>
    <w:rsid w:val="00EE6D48"/>
    <w:rsid w:val="00EE70C4"/>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C9E"/>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2B2F"/>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526"/>
    <w:rsid w:val="00FA2AB0"/>
    <w:rsid w:val="00FA31F5"/>
    <w:rsid w:val="00FA32D1"/>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14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63CB"/>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1"/>
    <w:qFormat/>
    <w:rsid w:val="004A24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4A24E1"/>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A24E1"/>
    <w:pPr>
      <w:spacing w:before="120"/>
      <w:outlineLvl w:val="2"/>
    </w:pPr>
    <w:rPr>
      <w:sz w:val="28"/>
      <w:szCs w:val="28"/>
    </w:rPr>
  </w:style>
  <w:style w:type="paragraph" w:styleId="Heading4">
    <w:name w:val="heading 4"/>
    <w:aliases w:val="h4"/>
    <w:basedOn w:val="Heading3"/>
    <w:next w:val="Normal"/>
    <w:link w:val="Heading4Char"/>
    <w:qFormat/>
    <w:rsid w:val="004A24E1"/>
    <w:pPr>
      <w:ind w:left="1418" w:hanging="1418"/>
      <w:outlineLvl w:val="3"/>
    </w:pPr>
    <w:rPr>
      <w:sz w:val="24"/>
      <w:szCs w:val="24"/>
    </w:rPr>
  </w:style>
  <w:style w:type="paragraph" w:styleId="Heading5">
    <w:name w:val="heading 5"/>
    <w:basedOn w:val="Heading4"/>
    <w:next w:val="Normal"/>
    <w:link w:val="Heading5Char"/>
    <w:qFormat/>
    <w:rsid w:val="004A24E1"/>
    <w:pPr>
      <w:ind w:left="1701" w:hanging="1701"/>
      <w:outlineLvl w:val="4"/>
    </w:pPr>
    <w:rPr>
      <w:sz w:val="22"/>
      <w:szCs w:val="22"/>
    </w:rPr>
  </w:style>
  <w:style w:type="paragraph" w:styleId="Heading6">
    <w:name w:val="heading 6"/>
    <w:basedOn w:val="H6"/>
    <w:next w:val="Normal"/>
    <w:qFormat/>
    <w:rsid w:val="004A24E1"/>
    <w:pPr>
      <w:outlineLvl w:val="5"/>
    </w:pPr>
  </w:style>
  <w:style w:type="paragraph" w:styleId="Heading7">
    <w:name w:val="heading 7"/>
    <w:basedOn w:val="H6"/>
    <w:next w:val="Normal"/>
    <w:qFormat/>
    <w:rsid w:val="004A24E1"/>
    <w:pPr>
      <w:outlineLvl w:val="6"/>
    </w:pPr>
  </w:style>
  <w:style w:type="paragraph" w:styleId="Heading8">
    <w:name w:val="heading 8"/>
    <w:basedOn w:val="Heading1"/>
    <w:next w:val="Normal"/>
    <w:qFormat/>
    <w:rsid w:val="004A24E1"/>
    <w:pPr>
      <w:ind w:left="0" w:firstLine="0"/>
      <w:outlineLvl w:val="7"/>
    </w:pPr>
  </w:style>
  <w:style w:type="paragraph" w:styleId="Heading9">
    <w:name w:val="heading 9"/>
    <w:basedOn w:val="Heading8"/>
    <w:next w:val="Normal"/>
    <w:qFormat/>
    <w:rsid w:val="004A24E1"/>
    <w:pPr>
      <w:outlineLvl w:val="8"/>
    </w:pPr>
  </w:style>
  <w:style w:type="character" w:default="1" w:styleId="DefaultParagraphFont">
    <w:name w:val="Default Paragraph Font"/>
    <w:uiPriority w:val="1"/>
    <w:semiHidden/>
    <w:unhideWhenUsed/>
    <w:rsid w:val="00E463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63CB"/>
  </w:style>
  <w:style w:type="paragraph" w:styleId="TOC8">
    <w:name w:val="toc 8"/>
    <w:basedOn w:val="TOC1"/>
    <w:semiHidden/>
    <w:rsid w:val="004A24E1"/>
    <w:pPr>
      <w:spacing w:before="180"/>
      <w:ind w:left="2693" w:hanging="2693"/>
    </w:pPr>
    <w:rPr>
      <w:b/>
      <w:bCs/>
    </w:rPr>
  </w:style>
  <w:style w:type="paragraph" w:styleId="TOC1">
    <w:name w:val="toc 1"/>
    <w:semiHidden/>
    <w:rsid w:val="004A24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4A24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semiHidden/>
    <w:rsid w:val="004A24E1"/>
    <w:pPr>
      <w:ind w:left="1701" w:hanging="1701"/>
    </w:pPr>
  </w:style>
  <w:style w:type="paragraph" w:styleId="TOC4">
    <w:name w:val="toc 4"/>
    <w:basedOn w:val="TOC3"/>
    <w:semiHidden/>
    <w:rsid w:val="004A24E1"/>
    <w:pPr>
      <w:ind w:left="1418" w:hanging="1418"/>
    </w:pPr>
  </w:style>
  <w:style w:type="paragraph" w:styleId="TOC3">
    <w:name w:val="toc 3"/>
    <w:basedOn w:val="TOC2"/>
    <w:semiHidden/>
    <w:rsid w:val="004A24E1"/>
    <w:pPr>
      <w:ind w:left="1134" w:hanging="1134"/>
    </w:pPr>
  </w:style>
  <w:style w:type="paragraph" w:styleId="TOC2">
    <w:name w:val="toc 2"/>
    <w:basedOn w:val="TOC1"/>
    <w:semiHidden/>
    <w:rsid w:val="004A24E1"/>
    <w:pPr>
      <w:keepNext w:val="0"/>
      <w:spacing w:before="0"/>
      <w:ind w:left="851" w:hanging="851"/>
    </w:pPr>
    <w:rPr>
      <w:sz w:val="20"/>
      <w:szCs w:val="20"/>
    </w:rPr>
  </w:style>
  <w:style w:type="paragraph" w:styleId="Index2">
    <w:name w:val="index 2"/>
    <w:basedOn w:val="Index1"/>
    <w:semiHidden/>
    <w:rsid w:val="004A24E1"/>
    <w:pPr>
      <w:ind w:left="284"/>
    </w:pPr>
  </w:style>
  <w:style w:type="paragraph" w:styleId="Index1">
    <w:name w:val="index 1"/>
    <w:basedOn w:val="Normal"/>
    <w:semiHidden/>
    <w:rsid w:val="004A24E1"/>
    <w:pPr>
      <w:keepLines/>
      <w:spacing w:after="0"/>
    </w:pPr>
  </w:style>
  <w:style w:type="paragraph" w:customStyle="1" w:styleId="ZH">
    <w:name w:val="ZH"/>
    <w:rsid w:val="004A24E1"/>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rsid w:val="004A24E1"/>
    <w:pPr>
      <w:outlineLvl w:val="9"/>
    </w:pPr>
  </w:style>
  <w:style w:type="paragraph" w:styleId="ListNumber2">
    <w:name w:val="List Number 2"/>
    <w:basedOn w:val="ListNumber"/>
    <w:rsid w:val="004A24E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A24E1"/>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semiHidden/>
    <w:rsid w:val="004A24E1"/>
    <w:rPr>
      <w:b/>
      <w:bCs/>
      <w:position w:val="6"/>
      <w:sz w:val="16"/>
      <w:szCs w:val="16"/>
    </w:rPr>
  </w:style>
  <w:style w:type="paragraph" w:styleId="FootnoteText">
    <w:name w:val="footnote text"/>
    <w:basedOn w:val="Normal"/>
    <w:semiHidden/>
    <w:rsid w:val="004A24E1"/>
    <w:pPr>
      <w:keepLines/>
      <w:spacing w:after="0"/>
      <w:ind w:left="454" w:hanging="454"/>
    </w:pPr>
    <w:rPr>
      <w:sz w:val="16"/>
      <w:szCs w:val="16"/>
    </w:rPr>
  </w:style>
  <w:style w:type="paragraph" w:customStyle="1" w:styleId="TAH">
    <w:name w:val="TAH"/>
    <w:basedOn w:val="TAC"/>
    <w:rsid w:val="004A24E1"/>
    <w:rPr>
      <w:b/>
      <w:bCs/>
    </w:rPr>
  </w:style>
  <w:style w:type="paragraph" w:customStyle="1" w:styleId="TAC">
    <w:name w:val="TAC"/>
    <w:basedOn w:val="TAL"/>
    <w:link w:val="TACChar"/>
    <w:rsid w:val="004A24E1"/>
    <w:pPr>
      <w:jc w:val="center"/>
    </w:pPr>
  </w:style>
  <w:style w:type="paragraph" w:customStyle="1" w:styleId="TF">
    <w:name w:val="TF"/>
    <w:basedOn w:val="TH"/>
    <w:link w:val="TFChar"/>
    <w:rsid w:val="004A24E1"/>
    <w:pPr>
      <w:keepNext w:val="0"/>
      <w:spacing w:before="0" w:after="240"/>
    </w:pPr>
  </w:style>
  <w:style w:type="paragraph" w:customStyle="1" w:styleId="NO">
    <w:name w:val="NO"/>
    <w:basedOn w:val="Normal"/>
    <w:rsid w:val="004A24E1"/>
    <w:pPr>
      <w:keepLines/>
      <w:ind w:left="1135" w:hanging="851"/>
    </w:pPr>
  </w:style>
  <w:style w:type="paragraph" w:styleId="TOC9">
    <w:name w:val="toc 9"/>
    <w:basedOn w:val="TOC8"/>
    <w:semiHidden/>
    <w:rsid w:val="004A24E1"/>
    <w:pPr>
      <w:ind w:left="1418" w:hanging="1418"/>
    </w:pPr>
  </w:style>
  <w:style w:type="paragraph" w:customStyle="1" w:styleId="EX">
    <w:name w:val="EX"/>
    <w:basedOn w:val="Normal"/>
    <w:rsid w:val="004A24E1"/>
    <w:pPr>
      <w:keepLines/>
      <w:ind w:left="1702" w:hanging="1418"/>
    </w:pPr>
  </w:style>
  <w:style w:type="paragraph" w:customStyle="1" w:styleId="FP">
    <w:name w:val="FP"/>
    <w:basedOn w:val="Normal"/>
    <w:rsid w:val="004A24E1"/>
    <w:pPr>
      <w:spacing w:after="0"/>
    </w:pPr>
  </w:style>
  <w:style w:type="paragraph" w:customStyle="1" w:styleId="LD">
    <w:name w:val="LD"/>
    <w:rsid w:val="004A24E1"/>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4A24E1"/>
    <w:pPr>
      <w:spacing w:after="0"/>
    </w:pPr>
  </w:style>
  <w:style w:type="paragraph" w:customStyle="1" w:styleId="EW">
    <w:name w:val="EW"/>
    <w:basedOn w:val="EX"/>
    <w:rsid w:val="004A24E1"/>
    <w:pPr>
      <w:spacing w:after="0"/>
    </w:pPr>
  </w:style>
  <w:style w:type="paragraph" w:styleId="TOC6">
    <w:name w:val="toc 6"/>
    <w:basedOn w:val="TOC5"/>
    <w:next w:val="Normal"/>
    <w:semiHidden/>
    <w:rsid w:val="004A24E1"/>
    <w:pPr>
      <w:ind w:left="1985" w:hanging="1985"/>
    </w:pPr>
  </w:style>
  <w:style w:type="paragraph" w:styleId="TOC7">
    <w:name w:val="toc 7"/>
    <w:basedOn w:val="TOC6"/>
    <w:next w:val="Normal"/>
    <w:semiHidden/>
    <w:rsid w:val="004A24E1"/>
    <w:pPr>
      <w:ind w:left="2268" w:hanging="2268"/>
    </w:pPr>
  </w:style>
  <w:style w:type="paragraph" w:styleId="ListBullet2">
    <w:name w:val="List Bullet 2"/>
    <w:basedOn w:val="ListBullet"/>
    <w:rsid w:val="004A24E1"/>
    <w:pPr>
      <w:ind w:left="851"/>
    </w:pPr>
  </w:style>
  <w:style w:type="paragraph" w:styleId="ListBullet3">
    <w:name w:val="List Bullet 3"/>
    <w:basedOn w:val="ListBullet2"/>
    <w:rsid w:val="004A24E1"/>
    <w:pPr>
      <w:ind w:left="1135"/>
    </w:pPr>
  </w:style>
  <w:style w:type="paragraph" w:styleId="ListNumber">
    <w:name w:val="List Number"/>
    <w:basedOn w:val="List"/>
    <w:rsid w:val="004A24E1"/>
  </w:style>
  <w:style w:type="paragraph" w:customStyle="1" w:styleId="EQ">
    <w:name w:val="EQ"/>
    <w:basedOn w:val="Normal"/>
    <w:next w:val="Normal"/>
    <w:rsid w:val="004A24E1"/>
    <w:pPr>
      <w:keepLines/>
      <w:tabs>
        <w:tab w:val="center" w:pos="4536"/>
        <w:tab w:val="right" w:pos="9072"/>
      </w:tabs>
    </w:pPr>
    <w:rPr>
      <w:noProof/>
    </w:rPr>
  </w:style>
  <w:style w:type="paragraph" w:customStyle="1" w:styleId="TH">
    <w:name w:val="TH"/>
    <w:basedOn w:val="Normal"/>
    <w:link w:val="THChar"/>
    <w:rsid w:val="004A24E1"/>
    <w:pPr>
      <w:keepNext/>
      <w:keepLines/>
      <w:spacing w:before="60"/>
      <w:jc w:val="center"/>
    </w:pPr>
    <w:rPr>
      <w:rFonts w:ascii="Arial" w:hAnsi="Arial" w:cs="Arial"/>
      <w:b/>
      <w:bCs/>
    </w:rPr>
  </w:style>
  <w:style w:type="paragraph" w:customStyle="1" w:styleId="NF">
    <w:name w:val="NF"/>
    <w:basedOn w:val="NO"/>
    <w:rsid w:val="004A24E1"/>
    <w:pPr>
      <w:keepNext/>
      <w:spacing w:after="0"/>
    </w:pPr>
    <w:rPr>
      <w:rFonts w:ascii="Arial" w:hAnsi="Arial" w:cs="Arial"/>
      <w:sz w:val="18"/>
      <w:szCs w:val="18"/>
    </w:rPr>
  </w:style>
  <w:style w:type="paragraph" w:customStyle="1" w:styleId="PL">
    <w:name w:val="PL"/>
    <w:link w:val="PLChar"/>
    <w:rsid w:val="004A2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4A24E1"/>
    <w:pPr>
      <w:jc w:val="right"/>
    </w:pPr>
  </w:style>
  <w:style w:type="paragraph" w:customStyle="1" w:styleId="H6">
    <w:name w:val="H6"/>
    <w:basedOn w:val="Heading5"/>
    <w:next w:val="Normal"/>
    <w:rsid w:val="004A24E1"/>
    <w:pPr>
      <w:ind w:left="1985" w:hanging="1985"/>
      <w:outlineLvl w:val="9"/>
    </w:pPr>
    <w:rPr>
      <w:sz w:val="20"/>
      <w:szCs w:val="20"/>
    </w:rPr>
  </w:style>
  <w:style w:type="paragraph" w:customStyle="1" w:styleId="TAN">
    <w:name w:val="TAN"/>
    <w:basedOn w:val="TAL"/>
    <w:rsid w:val="004A24E1"/>
    <w:pPr>
      <w:ind w:left="851" w:hanging="851"/>
    </w:pPr>
  </w:style>
  <w:style w:type="paragraph" w:customStyle="1" w:styleId="TAL">
    <w:name w:val="TAL"/>
    <w:basedOn w:val="Normal"/>
    <w:link w:val="TALCar"/>
    <w:rsid w:val="004A24E1"/>
    <w:pPr>
      <w:keepNext/>
      <w:keepLines/>
      <w:spacing w:after="0"/>
    </w:pPr>
    <w:rPr>
      <w:rFonts w:ascii="Arial" w:hAnsi="Arial" w:cs="Arial"/>
      <w:sz w:val="18"/>
      <w:szCs w:val="18"/>
    </w:rPr>
  </w:style>
  <w:style w:type="paragraph" w:customStyle="1" w:styleId="ZA">
    <w:name w:val="ZA"/>
    <w:rsid w:val="004A24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4A24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4A24E1"/>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4A24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4A24E1"/>
    <w:pPr>
      <w:framePr w:wrap="notBeside" w:y="16161"/>
    </w:pPr>
  </w:style>
  <w:style w:type="character" w:customStyle="1" w:styleId="ZGSM">
    <w:name w:val="ZGSM"/>
    <w:rsid w:val="004A24E1"/>
  </w:style>
  <w:style w:type="paragraph" w:styleId="List2">
    <w:name w:val="List 2"/>
    <w:basedOn w:val="List"/>
    <w:rsid w:val="004A24E1"/>
    <w:pPr>
      <w:ind w:left="851"/>
    </w:pPr>
  </w:style>
  <w:style w:type="paragraph" w:customStyle="1" w:styleId="ZG">
    <w:name w:val="ZG"/>
    <w:rsid w:val="004A24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4A24E1"/>
    <w:pPr>
      <w:ind w:left="1135"/>
    </w:pPr>
  </w:style>
  <w:style w:type="paragraph" w:styleId="List4">
    <w:name w:val="List 4"/>
    <w:basedOn w:val="List3"/>
    <w:rsid w:val="004A24E1"/>
    <w:pPr>
      <w:ind w:left="1418"/>
    </w:pPr>
  </w:style>
  <w:style w:type="paragraph" w:styleId="List5">
    <w:name w:val="List 5"/>
    <w:basedOn w:val="List4"/>
    <w:rsid w:val="004A24E1"/>
    <w:pPr>
      <w:ind w:left="1702"/>
    </w:pPr>
  </w:style>
  <w:style w:type="paragraph" w:customStyle="1" w:styleId="EditorsNote">
    <w:name w:val="Editor's Note"/>
    <w:basedOn w:val="NO"/>
    <w:rsid w:val="004A24E1"/>
    <w:rPr>
      <w:color w:val="FF0000"/>
    </w:rPr>
  </w:style>
  <w:style w:type="paragraph" w:styleId="List">
    <w:name w:val="List"/>
    <w:basedOn w:val="Normal"/>
    <w:rsid w:val="004A24E1"/>
    <w:pPr>
      <w:ind w:left="568" w:hanging="284"/>
    </w:pPr>
  </w:style>
  <w:style w:type="paragraph" w:styleId="ListBullet">
    <w:name w:val="List Bullet"/>
    <w:basedOn w:val="List"/>
    <w:rsid w:val="004A24E1"/>
  </w:style>
  <w:style w:type="paragraph" w:styleId="ListBullet4">
    <w:name w:val="List Bullet 4"/>
    <w:basedOn w:val="ListBullet3"/>
    <w:rsid w:val="004A24E1"/>
    <w:pPr>
      <w:ind w:left="1418"/>
    </w:pPr>
  </w:style>
  <w:style w:type="paragraph" w:styleId="ListBullet5">
    <w:name w:val="List Bullet 5"/>
    <w:basedOn w:val="ListBullet4"/>
    <w:rsid w:val="004A24E1"/>
    <w:pPr>
      <w:ind w:left="1702"/>
    </w:pPr>
  </w:style>
  <w:style w:type="paragraph" w:customStyle="1" w:styleId="B1">
    <w:name w:val="B1"/>
    <w:basedOn w:val="List"/>
    <w:rsid w:val="004A24E1"/>
  </w:style>
  <w:style w:type="paragraph" w:customStyle="1" w:styleId="B2">
    <w:name w:val="B2"/>
    <w:basedOn w:val="List2"/>
    <w:rsid w:val="004A24E1"/>
  </w:style>
  <w:style w:type="paragraph" w:customStyle="1" w:styleId="B3">
    <w:name w:val="B3"/>
    <w:basedOn w:val="List3"/>
    <w:rsid w:val="004A24E1"/>
  </w:style>
  <w:style w:type="paragraph" w:customStyle="1" w:styleId="B4">
    <w:name w:val="B4"/>
    <w:basedOn w:val="List4"/>
    <w:rsid w:val="004A24E1"/>
  </w:style>
  <w:style w:type="paragraph" w:customStyle="1" w:styleId="B5">
    <w:name w:val="B5"/>
    <w:basedOn w:val="List5"/>
    <w:rsid w:val="004A24E1"/>
  </w:style>
  <w:style w:type="paragraph" w:styleId="Footer">
    <w:name w:val="footer"/>
    <w:basedOn w:val="Header"/>
    <w:link w:val="FooterChar"/>
    <w:rsid w:val="004A24E1"/>
    <w:pPr>
      <w:jc w:val="center"/>
    </w:pPr>
    <w:rPr>
      <w:i/>
      <w:iCs/>
    </w:rPr>
  </w:style>
  <w:style w:type="paragraph" w:customStyle="1" w:styleId="ZTD">
    <w:name w:val="ZTD"/>
    <w:basedOn w:val="ZB"/>
    <w:rsid w:val="004A24E1"/>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eastAsia="Times New Roman" w:hAnsi="Arial" w:cs="Arial"/>
      <w:sz w:val="36"/>
      <w:szCs w:val="36"/>
      <w:lang w:val="en-GB" w:eastAsia="en-GB"/>
    </w:rPr>
  </w:style>
  <w:style w:type="character" w:customStyle="1" w:styleId="Heading2Char">
    <w:name w:val="Heading 2 Char"/>
    <w:link w:val="Heading2"/>
    <w:rsid w:val="00184F51"/>
    <w:rPr>
      <w:rFonts w:ascii="Arial" w:eastAsia="Times New Roman" w:hAnsi="Arial" w:cs="Arial"/>
      <w:sz w:val="32"/>
      <w:szCs w:val="32"/>
      <w:lang w:val="en-GB" w:eastAsia="en-GB"/>
    </w:rPr>
  </w:style>
  <w:style w:type="character" w:customStyle="1" w:styleId="Heading3Char">
    <w:name w:val="Heading 3 Char"/>
    <w:link w:val="Heading3"/>
    <w:rsid w:val="00184F51"/>
    <w:rPr>
      <w:rFonts w:ascii="Arial" w:eastAsia="Times New Roman" w:hAnsi="Arial" w:cs="Arial"/>
      <w:sz w:val="28"/>
      <w:szCs w:val="28"/>
      <w:lang w:val="en-GB" w:eastAsia="en-GB"/>
    </w:rPr>
  </w:style>
  <w:style w:type="character" w:customStyle="1" w:styleId="Heading4Char">
    <w:name w:val="Heading 4 Char"/>
    <w:aliases w:val="h4 Char"/>
    <w:link w:val="Heading4"/>
    <w:rsid w:val="00184F51"/>
    <w:rPr>
      <w:rFonts w:ascii="Arial" w:eastAsia="Times New Roman" w:hAnsi="Arial" w:cs="Arial"/>
      <w:sz w:val="24"/>
      <w:szCs w:val="24"/>
      <w:lang w:val="en-GB" w:eastAsia="en-GB"/>
    </w:rPr>
  </w:style>
  <w:style w:type="character" w:customStyle="1" w:styleId="Heading5Char">
    <w:name w:val="Heading 5 Char"/>
    <w:link w:val="Heading5"/>
    <w:rsid w:val="00184F51"/>
    <w:rPr>
      <w:rFonts w:ascii="Arial" w:eastAsia="Times New Roman" w:hAnsi="Arial" w:cs="Arial"/>
      <w:sz w:val="22"/>
      <w:szCs w:val="22"/>
      <w:lang w:val="en-GB" w:eastAsia="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lang w:val="en-GB" w:eastAsia="en-GB"/>
    </w:rPr>
  </w:style>
  <w:style w:type="character" w:customStyle="1" w:styleId="PLChar">
    <w:name w:val="PL Char"/>
    <w:link w:val="PL"/>
    <w:rsid w:val="00A47182"/>
    <w:rPr>
      <w:rFonts w:ascii="Courier New" w:eastAsia="Times New Roman" w:hAnsi="Courier New" w:cs="Courier New"/>
      <w:noProof/>
      <w:sz w:val="16"/>
      <w:szCs w:val="16"/>
      <w:lang w:val="en-GB" w:eastAsia="en-GB"/>
    </w:rPr>
  </w:style>
  <w:style w:type="character" w:customStyle="1" w:styleId="TALCar">
    <w:name w:val="TAL Car"/>
    <w:link w:val="TAL"/>
    <w:rsid w:val="00A47182"/>
    <w:rPr>
      <w:rFonts w:ascii="Arial" w:eastAsia="Times New Roman" w:hAnsi="Arial" w:cs="Arial"/>
      <w:sz w:val="18"/>
      <w:szCs w:val="18"/>
      <w:lang w:val="en-GB" w:eastAsia="en-GB"/>
    </w:rPr>
  </w:style>
  <w:style w:type="character" w:customStyle="1" w:styleId="THChar">
    <w:name w:val="TH Char"/>
    <w:link w:val="TH"/>
    <w:rsid w:val="00A47182"/>
    <w:rPr>
      <w:rFonts w:ascii="Arial" w:eastAsia="Times New Roman" w:hAnsi="Arial" w:cs="Arial"/>
      <w:b/>
      <w:bCs/>
      <w:lang w:val="en-GB" w:eastAsia="en-GB"/>
    </w:rPr>
  </w:style>
  <w:style w:type="character" w:customStyle="1" w:styleId="TACChar">
    <w:name w:val="TAC Char"/>
    <w:link w:val="TAC"/>
    <w:locked/>
    <w:rsid w:val="00263ABC"/>
    <w:rPr>
      <w:rFonts w:ascii="Arial" w:eastAsia="Times New Roman" w:hAnsi="Arial" w:cs="Arial"/>
      <w:sz w:val="18"/>
      <w:szCs w:val="18"/>
      <w:lang w:val="en-GB" w:eastAsia="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lang w:val="en-GB" w:eastAsia="en-GB"/>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link w:val="LGTdocChar"/>
    <w:rsid w:val="000B1547"/>
    <w:pPr>
      <w:widowControl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rsid w:val="0028085B"/>
    <w:rPr>
      <w:rFonts w:asciiTheme="minorHAnsi" w:eastAsia="Batang" w:hAnsiTheme="minorHAnsi" w:cstheme="minorBidi"/>
      <w:kern w:val="2"/>
      <w:sz w:val="22"/>
      <w:szCs w:val="24"/>
      <w:lang w:eastAsia="ko-KR"/>
    </w:rPr>
  </w:style>
  <w:style w:type="paragraph" w:customStyle="1" w:styleId="bullet1">
    <w:name w:val="bullet1"/>
    <w:basedOn w:val="Normal"/>
    <w:link w:val="bullet1Char"/>
    <w:qFormat/>
    <w:rsid w:val="0028085B"/>
    <w:pPr>
      <w:numPr>
        <w:numId w:val="23"/>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28085B"/>
    <w:pPr>
      <w:numPr>
        <w:ilvl w:val="1"/>
        <w:numId w:val="23"/>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28085B"/>
    <w:rPr>
      <w:rFonts w:ascii="Times" w:eastAsia="Batang" w:hAnsi="Times"/>
      <w:szCs w:val="24"/>
      <w:lang w:val="en-GB" w:eastAsia="en-US"/>
    </w:rPr>
  </w:style>
  <w:style w:type="paragraph" w:customStyle="1" w:styleId="bullet3">
    <w:name w:val="bullet3"/>
    <w:basedOn w:val="Normal"/>
    <w:qFormat/>
    <w:rsid w:val="0028085B"/>
    <w:pPr>
      <w:numPr>
        <w:ilvl w:val="2"/>
        <w:numId w:val="23"/>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28085B"/>
    <w:pPr>
      <w:numPr>
        <w:ilvl w:val="3"/>
        <w:numId w:val="23"/>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28085B"/>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7D89D-F95F-4C02-8321-F81E30889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2253</Words>
  <Characters>12844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2018-09-28T17:22:00Z</dcterms:created>
  <dcterms:modified xsi:type="dcterms:W3CDTF">2019-01-11T17:09:00Z</dcterms:modified>
</cp:coreProperties>
</file>